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C98" w:rsidRPr="00965611" w:rsidRDefault="00FE1C98" w:rsidP="00463EA8">
      <w:pPr>
        <w:pStyle w:val="MultipleChoiceNumList"/>
        <w:keepNext w:val="0"/>
        <w:spacing w:before="120" w:after="0"/>
        <w:jc w:val="center"/>
        <w:rPr>
          <w:sz w:val="20"/>
        </w:rPr>
      </w:pPr>
      <w:r w:rsidRPr="00965611">
        <w:rPr>
          <w:sz w:val="20"/>
        </w:rPr>
        <w:t xml:space="preserve">Potential Short Answer Essays </w:t>
      </w:r>
      <w:r w:rsidR="00463EA8" w:rsidRPr="00965611">
        <w:rPr>
          <w:sz w:val="20"/>
        </w:rPr>
        <w:t>for Ch.5 and Ch.6</w:t>
      </w:r>
    </w:p>
    <w:p w:rsidR="00463EA8" w:rsidRPr="00965611" w:rsidRDefault="00463EA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Identify the major components of the Supreme Court’s current standard for an obscenity conviction.</w:t>
      </w:r>
    </w:p>
    <w:p w:rsidR="00463EA8" w:rsidRPr="00965611" w:rsidRDefault="00463EA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Summarize the events surrounding flag-burning litigation, legislation, and Supreme Court rulings.</w:t>
      </w:r>
    </w:p>
    <w:p w:rsidR="00463EA8" w:rsidRPr="00965611" w:rsidRDefault="00463EA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What considerations are featured in the Supreme Court’s three-part test for establishment clause cases?</w:t>
      </w:r>
    </w:p>
    <w:p w:rsidR="00463EA8" w:rsidRPr="00965611" w:rsidRDefault="00463EA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Summarize constitutional requirements with respect to a search warrant.</w:t>
      </w:r>
    </w:p>
    <w:p w:rsidR="00463EA8" w:rsidRPr="00965611" w:rsidRDefault="00463EA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 xml:space="preserve">Summarize the facts of the case in </w:t>
      </w:r>
      <w:r w:rsidRPr="00965611">
        <w:rPr>
          <w:i/>
          <w:iCs/>
          <w:sz w:val="20"/>
        </w:rPr>
        <w:t>Miranda v. Arizona,</w:t>
      </w:r>
      <w:r w:rsidRPr="00965611">
        <w:rPr>
          <w:sz w:val="20"/>
        </w:rPr>
        <w:t xml:space="preserve"> the Supreme Court’s ruling, and Miranda’s fate after the decision.</w:t>
      </w:r>
    </w:p>
    <w:p w:rsidR="00FE1C98" w:rsidRPr="00965611" w:rsidRDefault="00FE1C9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 xml:space="preserve">Explain the difference between </w:t>
      </w:r>
      <w:r w:rsidRPr="00965611">
        <w:rPr>
          <w:i/>
          <w:iCs/>
          <w:sz w:val="20"/>
        </w:rPr>
        <w:t>de facto</w:t>
      </w:r>
      <w:r w:rsidRPr="00965611">
        <w:rPr>
          <w:sz w:val="20"/>
        </w:rPr>
        <w:t xml:space="preserve"> and </w:t>
      </w:r>
      <w:r w:rsidRPr="00965611">
        <w:rPr>
          <w:i/>
          <w:iCs/>
          <w:sz w:val="20"/>
        </w:rPr>
        <w:t>de jure</w:t>
      </w:r>
      <w:r w:rsidRPr="00965611">
        <w:rPr>
          <w:sz w:val="20"/>
        </w:rPr>
        <w:t xml:space="preserve"> segregation.</w:t>
      </w:r>
    </w:p>
    <w:p w:rsidR="00FE1C98" w:rsidRPr="00965611" w:rsidRDefault="00FE1C9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 xml:space="preserve">Summarize the guidelines set forth in the Supreme Court’s decision in the </w:t>
      </w:r>
      <w:r w:rsidRPr="00965611">
        <w:rPr>
          <w:i/>
          <w:iCs/>
          <w:sz w:val="20"/>
        </w:rPr>
        <w:t xml:space="preserve">Swann </w:t>
      </w:r>
      <w:r w:rsidRPr="00965611">
        <w:rPr>
          <w:sz w:val="20"/>
        </w:rPr>
        <w:t>case.</w:t>
      </w:r>
    </w:p>
    <w:p w:rsidR="00FE1C98" w:rsidRPr="00965611" w:rsidRDefault="00FE1C9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What events led to the breaking of the deadlock between the executive and members of Congress who would not support strong civil rights legislation?</w:t>
      </w:r>
    </w:p>
    <w:p w:rsidR="00FE1C98" w:rsidRPr="00965611" w:rsidRDefault="00FE1C9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Summarize the major provisions of the 1964 Civil Rights Act.</w:t>
      </w:r>
    </w:p>
    <w:p w:rsidR="00FE1C98" w:rsidRDefault="00FE1C98" w:rsidP="00463EA8">
      <w:pPr>
        <w:pStyle w:val="MultipleChoiceNumList"/>
        <w:keepNext w:val="0"/>
        <w:numPr>
          <w:ilvl w:val="0"/>
          <w:numId w:val="1"/>
        </w:numPr>
        <w:spacing w:before="120" w:after="0"/>
        <w:rPr>
          <w:sz w:val="20"/>
        </w:rPr>
      </w:pPr>
      <w:r w:rsidRPr="00965611">
        <w:rPr>
          <w:sz w:val="20"/>
        </w:rPr>
        <w:t>Describe the standards the Supreme Court uses to interpret the equal protection clause of the Fourteenth Amendment.</w:t>
      </w:r>
    </w:p>
    <w:p w:rsidR="00965611" w:rsidRDefault="00965611" w:rsidP="00965611"/>
    <w:p w:rsidR="00965611" w:rsidRPr="00965611" w:rsidRDefault="00965611" w:rsidP="00965611"/>
    <w:p w:rsidR="00E922E2" w:rsidRPr="00965611" w:rsidRDefault="00E922E2" w:rsidP="00E922E2">
      <w:pPr>
        <w:pStyle w:val="MultipleChoiceNumList"/>
        <w:keepNext w:val="0"/>
        <w:spacing w:before="120" w:after="0"/>
        <w:jc w:val="center"/>
        <w:rPr>
          <w:sz w:val="20"/>
        </w:rPr>
      </w:pPr>
      <w:r w:rsidRPr="00965611">
        <w:rPr>
          <w:sz w:val="20"/>
        </w:rPr>
        <w:t>Potential Short Answer Essays for Ch.5 and Ch.6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Identify the major components of the Supreme Court’s current standard for an obscenity conviction.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Summarize the events surrounding flag-burning litigation, legislation, and Supreme Court rulings.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What considerations are featured in the Supreme Court’s three-part test for establishment clause cases?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Summarize constitutional requirements with respect to a search warrant.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 xml:space="preserve">Summarize the facts of the case in </w:t>
      </w:r>
      <w:r w:rsidRPr="00965611">
        <w:rPr>
          <w:i/>
          <w:iCs/>
          <w:sz w:val="20"/>
        </w:rPr>
        <w:t>Miranda v. Arizona,</w:t>
      </w:r>
      <w:r w:rsidRPr="00965611">
        <w:rPr>
          <w:sz w:val="20"/>
        </w:rPr>
        <w:t xml:space="preserve"> the Supreme Court’s ruling, and Miranda’s fate after the decision.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 xml:space="preserve">Explain the difference between </w:t>
      </w:r>
      <w:r w:rsidRPr="00965611">
        <w:rPr>
          <w:i/>
          <w:iCs/>
          <w:sz w:val="20"/>
        </w:rPr>
        <w:t>de facto</w:t>
      </w:r>
      <w:r w:rsidRPr="00965611">
        <w:rPr>
          <w:sz w:val="20"/>
        </w:rPr>
        <w:t xml:space="preserve"> and </w:t>
      </w:r>
      <w:r w:rsidRPr="00965611">
        <w:rPr>
          <w:i/>
          <w:iCs/>
          <w:sz w:val="20"/>
        </w:rPr>
        <w:t>de jure</w:t>
      </w:r>
      <w:r w:rsidRPr="00965611">
        <w:rPr>
          <w:sz w:val="20"/>
        </w:rPr>
        <w:t xml:space="preserve"> segregation.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 xml:space="preserve">Summarize the guidelines set forth in the Supreme Court’s decision in the </w:t>
      </w:r>
      <w:r w:rsidRPr="00965611">
        <w:rPr>
          <w:i/>
          <w:iCs/>
          <w:sz w:val="20"/>
        </w:rPr>
        <w:t xml:space="preserve">Swann </w:t>
      </w:r>
      <w:r w:rsidRPr="00965611">
        <w:rPr>
          <w:sz w:val="20"/>
        </w:rPr>
        <w:t>case.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What events led to the breaking of the deadlock between the executive and members of Congress who would not support strong civil rights legislation?</w:t>
      </w:r>
    </w:p>
    <w:p w:rsidR="00E922E2" w:rsidRPr="00965611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Summarize the major provisions of the 1964 Civil Rights Act.</w:t>
      </w:r>
    </w:p>
    <w:p w:rsidR="00E922E2" w:rsidRDefault="00E922E2" w:rsidP="00E922E2">
      <w:pPr>
        <w:pStyle w:val="MultipleChoiceNumList"/>
        <w:keepNext w:val="0"/>
        <w:numPr>
          <w:ilvl w:val="0"/>
          <w:numId w:val="2"/>
        </w:numPr>
        <w:spacing w:before="120" w:after="0"/>
        <w:rPr>
          <w:sz w:val="20"/>
        </w:rPr>
      </w:pPr>
      <w:r w:rsidRPr="00965611">
        <w:rPr>
          <w:sz w:val="20"/>
        </w:rPr>
        <w:t>Describe the standards the Supreme Court uses to interpret the equal protection clause of the Fourteenth Amendment.</w:t>
      </w:r>
    </w:p>
    <w:p w:rsidR="00965611" w:rsidRDefault="00965611" w:rsidP="00965611"/>
    <w:p w:rsidR="00965611" w:rsidRPr="00965611" w:rsidRDefault="00965611" w:rsidP="00965611"/>
    <w:p w:rsidR="00965611" w:rsidRPr="00965611" w:rsidRDefault="00965611" w:rsidP="00965611">
      <w:pPr>
        <w:pStyle w:val="MultipleChoiceNumList"/>
        <w:keepNext w:val="0"/>
        <w:spacing w:before="120" w:after="0"/>
        <w:jc w:val="center"/>
        <w:rPr>
          <w:sz w:val="20"/>
        </w:rPr>
      </w:pPr>
      <w:r w:rsidRPr="00965611">
        <w:rPr>
          <w:sz w:val="20"/>
        </w:rPr>
        <w:t>Potential Short Answer Essays for Ch.5 and Ch.6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Identify the major components of the Supreme Court’s current standard for an obscenity conviction.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Summarize the events surrounding flag-burning litigation, legislation, and Supreme Court rulings.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What considerations are featured in the Supreme Court’s three-part test for establishment clause cases?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Summarize constitutional requirements with respect to a search warrant.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 xml:space="preserve">Summarize the facts of the case in </w:t>
      </w:r>
      <w:r w:rsidRPr="00965611">
        <w:rPr>
          <w:i/>
          <w:iCs/>
          <w:sz w:val="20"/>
        </w:rPr>
        <w:t>Miranda v. Arizona,</w:t>
      </w:r>
      <w:r w:rsidRPr="00965611">
        <w:rPr>
          <w:sz w:val="20"/>
        </w:rPr>
        <w:t xml:space="preserve"> the Supreme Court’s ruling, and Miranda’s fate after the decision.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 xml:space="preserve">Explain the difference between </w:t>
      </w:r>
      <w:r w:rsidRPr="00965611">
        <w:rPr>
          <w:i/>
          <w:iCs/>
          <w:sz w:val="20"/>
        </w:rPr>
        <w:t>de facto</w:t>
      </w:r>
      <w:r w:rsidRPr="00965611">
        <w:rPr>
          <w:sz w:val="20"/>
        </w:rPr>
        <w:t xml:space="preserve"> and </w:t>
      </w:r>
      <w:r w:rsidRPr="00965611">
        <w:rPr>
          <w:i/>
          <w:iCs/>
          <w:sz w:val="20"/>
        </w:rPr>
        <w:t>de jure</w:t>
      </w:r>
      <w:r w:rsidRPr="00965611">
        <w:rPr>
          <w:sz w:val="20"/>
        </w:rPr>
        <w:t xml:space="preserve"> segregation.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 xml:space="preserve">Summarize the guidelines set forth in the Supreme Court’s decision in the </w:t>
      </w:r>
      <w:r w:rsidRPr="00965611">
        <w:rPr>
          <w:i/>
          <w:iCs/>
          <w:sz w:val="20"/>
        </w:rPr>
        <w:t xml:space="preserve">Swann </w:t>
      </w:r>
      <w:r w:rsidRPr="00965611">
        <w:rPr>
          <w:sz w:val="20"/>
        </w:rPr>
        <w:t>case.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What events led to the breaking of the deadlock between the executive and members of Congress who would not support strong civil rights legislation?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Summarize the major provisions of the 1964 Civil Rights Act.</w:t>
      </w:r>
    </w:p>
    <w:p w:rsidR="00965611" w:rsidRPr="00965611" w:rsidRDefault="00965611" w:rsidP="00965611">
      <w:pPr>
        <w:pStyle w:val="MultipleChoiceNumList"/>
        <w:keepNext w:val="0"/>
        <w:numPr>
          <w:ilvl w:val="0"/>
          <w:numId w:val="3"/>
        </w:numPr>
        <w:spacing w:before="120" w:after="0"/>
        <w:rPr>
          <w:sz w:val="20"/>
        </w:rPr>
      </w:pPr>
      <w:r w:rsidRPr="00965611">
        <w:rPr>
          <w:sz w:val="20"/>
        </w:rPr>
        <w:t>Describe the standards the Supreme Court uses to interpret the equal protection clause of the Fourteenth Amendment.</w:t>
      </w:r>
    </w:p>
    <w:sectPr w:rsidR="00965611" w:rsidRPr="00965611" w:rsidSect="009656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03839"/>
    <w:multiLevelType w:val="hybridMultilevel"/>
    <w:tmpl w:val="7966B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B31BDA"/>
    <w:multiLevelType w:val="hybridMultilevel"/>
    <w:tmpl w:val="7966B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3D27F3"/>
    <w:multiLevelType w:val="hybridMultilevel"/>
    <w:tmpl w:val="7966B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1C98"/>
    <w:rsid w:val="00463EA8"/>
    <w:rsid w:val="00965611"/>
    <w:rsid w:val="009725E4"/>
    <w:rsid w:val="00CA6F32"/>
    <w:rsid w:val="00E922E2"/>
    <w:rsid w:val="00FE1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F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ssayAnswer">
    <w:name w:val="EssayAnswer"/>
    <w:basedOn w:val="Normal"/>
    <w:next w:val="Normal"/>
    <w:rsid w:val="00FE1C98"/>
    <w:pPr>
      <w:tabs>
        <w:tab w:val="left" w:pos="979"/>
      </w:tabs>
      <w:spacing w:after="120" w:line="240" w:lineRule="auto"/>
      <w:ind w:left="490"/>
    </w:pPr>
    <w:rPr>
      <w:rFonts w:ascii="Times New Roman" w:eastAsia="Times New Roman" w:hAnsi="Times New Roman" w:cs="Times New Roman"/>
      <w:szCs w:val="20"/>
    </w:rPr>
  </w:style>
  <w:style w:type="paragraph" w:customStyle="1" w:styleId="MultipleChoiceNumList">
    <w:name w:val="MultipleChoiceNumList"/>
    <w:basedOn w:val="Normal"/>
    <w:next w:val="Normal"/>
    <w:rsid w:val="00FE1C98"/>
    <w:pPr>
      <w:keepNext/>
      <w:keepLines/>
      <w:spacing w:after="60" w:line="240" w:lineRule="auto"/>
      <w:ind w:left="490" w:hanging="490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5</cp:revision>
  <dcterms:created xsi:type="dcterms:W3CDTF">2012-10-17T19:32:00Z</dcterms:created>
  <dcterms:modified xsi:type="dcterms:W3CDTF">2012-10-17T19:34:00Z</dcterms:modified>
</cp:coreProperties>
</file>