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61" w:rsidRPr="00AA5361" w:rsidRDefault="00AA5361" w:rsidP="00AA5361">
      <w:pPr>
        <w:widowControl w:val="0"/>
        <w:autoSpaceDE w:val="0"/>
        <w:autoSpaceDN w:val="0"/>
        <w:adjustRightInd w:val="0"/>
        <w:spacing w:after="240"/>
        <w:jc w:val="center"/>
        <w:rPr>
          <w:rFonts w:cs="Times"/>
        </w:rPr>
      </w:pPr>
      <w:r w:rsidRPr="00AA5361">
        <w:rPr>
          <w:rFonts w:cs="Times"/>
          <w:b/>
          <w:bCs/>
        </w:rPr>
        <w:t>INTERNATIONAL STUDENTS – I-20 STATUS (ELL STUDENTS)</w:t>
      </w:r>
    </w:p>
    <w:p w:rsidR="00AA5361" w:rsidRPr="00AA5361" w:rsidRDefault="00AA5361" w:rsidP="00AA5361">
      <w:pPr>
        <w:widowControl w:val="0"/>
        <w:autoSpaceDE w:val="0"/>
        <w:autoSpaceDN w:val="0"/>
        <w:adjustRightInd w:val="0"/>
        <w:spacing w:after="240"/>
        <w:rPr>
          <w:rFonts w:cs="Times"/>
        </w:rPr>
      </w:pPr>
      <w:r w:rsidRPr="00AA5361">
        <w:rPr>
          <w:rFonts w:cs="Times New Roman"/>
        </w:rPr>
        <w:t>The school is authorized under Federal law to enroll non-immigrant students. Below are listed the requirements established by the U.S. Citizenship and Immigration Services (USCIS) to receive an I-20 form:</w:t>
      </w:r>
    </w:p>
    <w:p w:rsidR="00AA5361" w:rsidRPr="00AA5361" w:rsidRDefault="00AA5361" w:rsidP="00AA5361">
      <w:pPr>
        <w:widowControl w:val="0"/>
        <w:autoSpaceDE w:val="0"/>
        <w:autoSpaceDN w:val="0"/>
        <w:adjustRightInd w:val="0"/>
        <w:spacing w:after="240"/>
        <w:rPr>
          <w:rFonts w:cs="Times"/>
        </w:rPr>
      </w:pPr>
      <w:r w:rsidRPr="00AA5361">
        <w:rPr>
          <w:rFonts w:cs="Times New Roman"/>
        </w:rPr>
        <w:t>1. Letter of intent stating what the student’s plan is for the coming school year and for the remainder of his/ her high school years. If the student plans to attend college in the U.S., please include that information in the letter since it assists the Registrar in working out the credits.</w:t>
      </w:r>
    </w:p>
    <w:p w:rsidR="00AA5361" w:rsidRPr="00AA5361" w:rsidRDefault="00AA5361" w:rsidP="00AA5361">
      <w:pPr>
        <w:widowControl w:val="0"/>
        <w:autoSpaceDE w:val="0"/>
        <w:autoSpaceDN w:val="0"/>
        <w:adjustRightInd w:val="0"/>
        <w:spacing w:after="240"/>
        <w:rPr>
          <w:rFonts w:cs="Times"/>
        </w:rPr>
      </w:pPr>
      <w:r w:rsidRPr="00AA5361">
        <w:rPr>
          <w:rFonts w:cs="Times New Roman"/>
        </w:rPr>
        <w:t>2. Bank statements from the parent or supporting persons (whoever is paying tuition and providing care for the student) as proof of finances. This is required in order for the USCIS to s</w:t>
      </w:r>
      <w:r>
        <w:rPr>
          <w:rFonts w:cs="Times New Roman"/>
        </w:rPr>
        <w:t>ee that the student will be fi</w:t>
      </w:r>
      <w:r w:rsidRPr="00AA5361">
        <w:rPr>
          <w:rFonts w:cs="Times New Roman"/>
        </w:rPr>
        <w:t>nancially taken care of while staying in the United States.</w:t>
      </w:r>
    </w:p>
    <w:p w:rsidR="00AA5361" w:rsidRPr="00AA5361" w:rsidRDefault="00AA5361" w:rsidP="00AA5361">
      <w:pPr>
        <w:widowControl w:val="0"/>
        <w:autoSpaceDE w:val="0"/>
        <w:autoSpaceDN w:val="0"/>
        <w:adjustRightInd w:val="0"/>
        <w:spacing w:after="240"/>
        <w:rPr>
          <w:rFonts w:cs="Times"/>
        </w:rPr>
      </w:pPr>
      <w:r w:rsidRPr="00AA5361">
        <w:rPr>
          <w:rFonts w:cs="Times New Roman"/>
        </w:rPr>
        <w:t>3. (New Students Only) Student transcripts are needed from the previous school, translated in order for the Registrar to properly assess the student’s academic credits.</w:t>
      </w:r>
    </w:p>
    <w:p w:rsidR="00AA5361" w:rsidRPr="00AA5361" w:rsidRDefault="00AA5361" w:rsidP="00AA5361">
      <w:pPr>
        <w:widowControl w:val="0"/>
        <w:autoSpaceDE w:val="0"/>
        <w:autoSpaceDN w:val="0"/>
        <w:adjustRightInd w:val="0"/>
        <w:spacing w:after="240"/>
        <w:rPr>
          <w:rFonts w:cs="Times"/>
        </w:rPr>
      </w:pPr>
      <w:r w:rsidRPr="00AA5361">
        <w:rPr>
          <w:rFonts w:cs="Times New Roman"/>
        </w:rPr>
        <w:t>4. Two letters of recommendation from previous school (translated).</w:t>
      </w:r>
    </w:p>
    <w:p w:rsidR="00AA5361" w:rsidRPr="00AA5361" w:rsidRDefault="00AA5361" w:rsidP="00AA5361">
      <w:pPr>
        <w:widowControl w:val="0"/>
        <w:autoSpaceDE w:val="0"/>
        <w:autoSpaceDN w:val="0"/>
        <w:adjustRightInd w:val="0"/>
        <w:spacing w:after="240"/>
        <w:rPr>
          <w:rFonts w:cs="Times"/>
        </w:rPr>
      </w:pPr>
      <w:r w:rsidRPr="00AA5361">
        <w:rPr>
          <w:rFonts w:cs="Times New Roman"/>
        </w:rPr>
        <w:t>5. Completed application form along with the $225 non-refundable application fee.</w:t>
      </w:r>
    </w:p>
    <w:p w:rsidR="00AA5361" w:rsidRPr="00AA5361" w:rsidRDefault="00AA5361" w:rsidP="00AA5361">
      <w:pPr>
        <w:widowControl w:val="0"/>
        <w:autoSpaceDE w:val="0"/>
        <w:autoSpaceDN w:val="0"/>
        <w:adjustRightInd w:val="0"/>
        <w:spacing w:after="240"/>
        <w:rPr>
          <w:rFonts w:cs="Times"/>
        </w:rPr>
      </w:pPr>
      <w:r w:rsidRPr="00AA5361">
        <w:rPr>
          <w:rFonts w:cs="Times New Roman"/>
        </w:rPr>
        <w:t>6. Immunization records and physical exam from doctor’s office.</w:t>
      </w:r>
    </w:p>
    <w:p w:rsidR="00AA5361" w:rsidRPr="00AA5361" w:rsidRDefault="00AA5361" w:rsidP="00AA5361">
      <w:pPr>
        <w:widowControl w:val="0"/>
        <w:autoSpaceDE w:val="0"/>
        <w:autoSpaceDN w:val="0"/>
        <w:adjustRightInd w:val="0"/>
        <w:spacing w:after="240"/>
        <w:rPr>
          <w:rFonts w:cs="Times"/>
        </w:rPr>
      </w:pPr>
      <w:r w:rsidRPr="00AA5361">
        <w:rPr>
          <w:rFonts w:cs="Times New Roman"/>
        </w:rPr>
        <w:t>7. The USCIS requires a complete home address of the student from his/her</w:t>
      </w:r>
      <w:r>
        <w:rPr>
          <w:rFonts w:cs="Times New Roman"/>
        </w:rPr>
        <w:t xml:space="preserve"> country. This address must in</w:t>
      </w:r>
      <w:r w:rsidRPr="00AA5361">
        <w:rPr>
          <w:rFonts w:cs="Times New Roman"/>
        </w:rPr>
        <w:t>clude:</w:t>
      </w:r>
    </w:p>
    <w:p w:rsidR="00AA5361" w:rsidRPr="00AA5361" w:rsidRDefault="00AA5361" w:rsidP="00AA5361">
      <w:pPr>
        <w:widowControl w:val="0"/>
        <w:autoSpaceDE w:val="0"/>
        <w:autoSpaceDN w:val="0"/>
        <w:adjustRightInd w:val="0"/>
        <w:spacing w:after="240"/>
        <w:rPr>
          <w:rFonts w:cs="Times"/>
        </w:rPr>
      </w:pPr>
      <w:r w:rsidRPr="00AA5361">
        <w:rPr>
          <w:rFonts w:cs="Times New Roman"/>
        </w:rPr>
        <w:t>Full name of student Street and apartment number Province or Territory Country Zip Code</w:t>
      </w:r>
    </w:p>
    <w:p w:rsidR="00AA5361" w:rsidRPr="00AA5361" w:rsidRDefault="00AA5361" w:rsidP="00AA5361">
      <w:pPr>
        <w:widowControl w:val="0"/>
        <w:autoSpaceDE w:val="0"/>
        <w:autoSpaceDN w:val="0"/>
        <w:adjustRightInd w:val="0"/>
        <w:spacing w:after="240"/>
        <w:rPr>
          <w:rFonts w:cs="Times"/>
        </w:rPr>
      </w:pPr>
      <w:r w:rsidRPr="00AA5361">
        <w:rPr>
          <w:rFonts w:cs="Times New Roman"/>
        </w:rPr>
        <w:t xml:space="preserve">8. Full names, </w:t>
      </w:r>
      <w:proofErr w:type="gramStart"/>
      <w:r w:rsidRPr="00AA5361">
        <w:rPr>
          <w:rFonts w:cs="Times New Roman"/>
        </w:rPr>
        <w:t>address(</w:t>
      </w:r>
      <w:proofErr w:type="spellStart"/>
      <w:proofErr w:type="gramEnd"/>
      <w:r w:rsidRPr="00AA5361">
        <w:rPr>
          <w:rFonts w:cs="Times New Roman"/>
        </w:rPr>
        <w:t>es</w:t>
      </w:r>
      <w:proofErr w:type="spellEnd"/>
      <w:r w:rsidRPr="00AA5361">
        <w:rPr>
          <w:rFonts w:cs="Times New Roman"/>
        </w:rPr>
        <w:t>), email and phone numbers for parents.</w:t>
      </w:r>
    </w:p>
    <w:p w:rsidR="00AA5361" w:rsidRPr="00AA5361" w:rsidRDefault="00AA5361" w:rsidP="00AA5361">
      <w:pPr>
        <w:widowControl w:val="0"/>
        <w:autoSpaceDE w:val="0"/>
        <w:autoSpaceDN w:val="0"/>
        <w:adjustRightInd w:val="0"/>
        <w:spacing w:after="240"/>
        <w:rPr>
          <w:rFonts w:cs="Times"/>
        </w:rPr>
      </w:pPr>
      <w:r w:rsidRPr="00AA5361">
        <w:rPr>
          <w:rFonts w:cs="Times New Roman"/>
        </w:rPr>
        <w:t>9. SEVIS Foreign Exchange Fee (I-901): This fee is non-refundable. Th</w:t>
      </w:r>
      <w:r>
        <w:rPr>
          <w:rFonts w:cs="Times New Roman"/>
        </w:rPr>
        <w:t>e new U.S. Immigration and Cus</w:t>
      </w:r>
      <w:r w:rsidRPr="00AA5361">
        <w:rPr>
          <w:rFonts w:cs="Times New Roman"/>
        </w:rPr>
        <w:t>toms Enforcement branch of Homeland Security has created a charge for processing foreign exchange students. The fee of $200 will be submitted and paid through the school and a receipt of payment will be issued to the student or responsible party. This receipt is required along wit</w:t>
      </w:r>
      <w:r>
        <w:rPr>
          <w:rFonts w:cs="Times New Roman"/>
        </w:rPr>
        <w:t>h the I-20 when the student ap</w:t>
      </w:r>
      <w:r w:rsidRPr="00AA5361">
        <w:rPr>
          <w:rFonts w:cs="Times New Roman"/>
        </w:rPr>
        <w:t>plies for an F-1 visa at the U.S. Embassy.</w:t>
      </w:r>
    </w:p>
    <w:p w:rsidR="00AA5361" w:rsidRDefault="00AA5361" w:rsidP="00AA5361">
      <w:pPr>
        <w:widowControl w:val="0"/>
        <w:autoSpaceDE w:val="0"/>
        <w:autoSpaceDN w:val="0"/>
        <w:adjustRightInd w:val="0"/>
        <w:spacing w:after="240"/>
        <w:rPr>
          <w:rFonts w:cs="Times New Roman"/>
        </w:rPr>
      </w:pPr>
      <w:r w:rsidRPr="00AA5361">
        <w:rPr>
          <w:rFonts w:cs="Times New Roman"/>
        </w:rPr>
        <w:t>Foreign Exchange Financial Information Based on 10 Months – Tuition and Fees are for students entering after 2/1/2014</w:t>
      </w:r>
    </w:p>
    <w:p w:rsidR="00AA5361" w:rsidRPr="00AA5361" w:rsidRDefault="00AA5361" w:rsidP="00AA5361">
      <w:pPr>
        <w:widowControl w:val="0"/>
        <w:autoSpaceDE w:val="0"/>
        <w:autoSpaceDN w:val="0"/>
        <w:adjustRightInd w:val="0"/>
        <w:spacing w:after="240"/>
        <w:rPr>
          <w:rFonts w:cs="Times"/>
        </w:rPr>
      </w:pPr>
    </w:p>
    <w:tbl>
      <w:tblPr>
        <w:tblW w:w="0" w:type="auto"/>
        <w:tblBorders>
          <w:top w:val="nil"/>
          <w:left w:val="nil"/>
          <w:right w:val="nil"/>
        </w:tblBorders>
        <w:tblLayout w:type="fixed"/>
        <w:tblLook w:val="0000" w:firstRow="0" w:lastRow="0" w:firstColumn="0" w:lastColumn="0" w:noHBand="0" w:noVBand="0"/>
      </w:tblPr>
      <w:tblGrid>
        <w:gridCol w:w="8120"/>
        <w:gridCol w:w="1340"/>
      </w:tblGrid>
      <w:tr w:rsidR="00AA5361" w:rsidRPr="00AA5361">
        <w:tblPrEx>
          <w:tblCellMar>
            <w:top w:w="0" w:type="dxa"/>
            <w:bottom w:w="0" w:type="dxa"/>
          </w:tblCellMar>
        </w:tblPrEx>
        <w:tc>
          <w:tcPr>
            <w:tcW w:w="8120" w:type="dxa"/>
            <w:tcBorders>
              <w:top w:val="single" w:sz="8" w:space="0" w:color="1112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w:b/>
                <w:bCs/>
              </w:rPr>
              <w:lastRenderedPageBreak/>
              <w:t>Tuition (1</w:t>
            </w:r>
            <w:proofErr w:type="spellStart"/>
            <w:r w:rsidRPr="00AA5361">
              <w:rPr>
                <w:rFonts w:cs="Times"/>
                <w:b/>
                <w:bCs/>
                <w:position w:val="10"/>
              </w:rPr>
              <w:t>st</w:t>
            </w:r>
            <w:proofErr w:type="spellEnd"/>
            <w:r w:rsidRPr="00AA5361">
              <w:rPr>
                <w:rFonts w:cs="Times"/>
                <w:b/>
                <w:bCs/>
                <w:position w:val="10"/>
              </w:rPr>
              <w:t xml:space="preserve"> </w:t>
            </w:r>
            <w:r w:rsidRPr="00AA5361">
              <w:rPr>
                <w:rFonts w:cs="Times"/>
                <w:b/>
                <w:bCs/>
              </w:rPr>
              <w:t>Semester) Due August 1, 2014</w:t>
            </w:r>
          </w:p>
        </w:tc>
        <w:tc>
          <w:tcPr>
            <w:tcW w:w="1340" w:type="dxa"/>
            <w:tcBorders>
              <w:top w:val="single" w:sz="8" w:space="0" w:color="101110"/>
              <w:left w:val="single" w:sz="8" w:space="0" w:color="111110"/>
              <w:bottom w:val="single" w:sz="8" w:space="0" w:color="1011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$5,000</w:t>
            </w:r>
          </w:p>
        </w:tc>
      </w:tr>
      <w:tr w:rsidR="00AA5361" w:rsidRPr="00AA5361">
        <w:tblPrEx>
          <w:tblBorders>
            <w:top w:val="none" w:sz="0" w:space="0" w:color="auto"/>
          </w:tblBorders>
          <w:tblCellMar>
            <w:top w:w="0" w:type="dxa"/>
            <w:bottom w:w="0" w:type="dxa"/>
          </w:tblCellMar>
        </w:tblPrEx>
        <w:tc>
          <w:tcPr>
            <w:tcW w:w="8120" w:type="dxa"/>
            <w:tcBorders>
              <w:top w:val="single" w:sz="8" w:space="0" w:color="1112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Incidentals*</w:t>
            </w:r>
          </w:p>
        </w:tc>
        <w:tc>
          <w:tcPr>
            <w:tcW w:w="1340" w:type="dxa"/>
            <w:tcBorders>
              <w:top w:val="single" w:sz="8" w:space="0" w:color="101110"/>
              <w:left w:val="single" w:sz="8" w:space="0" w:color="111110"/>
              <w:bottom w:val="single" w:sz="8" w:space="0" w:color="1011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$1,250</w:t>
            </w:r>
          </w:p>
        </w:tc>
      </w:tr>
      <w:tr w:rsidR="00AA5361" w:rsidRPr="00AA5361">
        <w:tblPrEx>
          <w:tblBorders>
            <w:top w:val="none" w:sz="0" w:space="0" w:color="auto"/>
          </w:tblBorders>
          <w:tblCellMar>
            <w:top w:w="0" w:type="dxa"/>
            <w:bottom w:w="0" w:type="dxa"/>
          </w:tblCellMar>
        </w:tblPrEx>
        <w:tc>
          <w:tcPr>
            <w:tcW w:w="8120" w:type="dxa"/>
            <w:tcBorders>
              <w:top w:val="single" w:sz="8" w:space="0" w:color="1112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Activity Fee*</w:t>
            </w:r>
          </w:p>
        </w:tc>
        <w:tc>
          <w:tcPr>
            <w:tcW w:w="1340" w:type="dxa"/>
            <w:tcBorders>
              <w:top w:val="single" w:sz="8" w:space="0" w:color="101110"/>
              <w:left w:val="single" w:sz="8" w:space="0" w:color="111110"/>
              <w:bottom w:val="single" w:sz="8" w:space="0" w:color="1011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$350</w:t>
            </w:r>
          </w:p>
        </w:tc>
      </w:tr>
      <w:tr w:rsidR="00AA5361" w:rsidRPr="00AA5361">
        <w:tblPrEx>
          <w:tblBorders>
            <w:top w:val="none" w:sz="0" w:space="0" w:color="auto"/>
          </w:tblBorders>
          <w:tblCellMar>
            <w:top w:w="0" w:type="dxa"/>
            <w:bottom w:w="0" w:type="dxa"/>
          </w:tblCellMar>
        </w:tblPrEx>
        <w:tc>
          <w:tcPr>
            <w:tcW w:w="8120" w:type="dxa"/>
            <w:tcBorders>
              <w:top w:val="single" w:sz="8" w:space="0" w:color="1112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SEVIS Foreign Exchange Fee* (non-refundable – 1</w:t>
            </w:r>
            <w:proofErr w:type="spellStart"/>
            <w:r w:rsidRPr="00AA5361">
              <w:rPr>
                <w:rFonts w:cs="Times New Roman"/>
                <w:position w:val="10"/>
              </w:rPr>
              <w:t>st</w:t>
            </w:r>
            <w:proofErr w:type="spellEnd"/>
            <w:r w:rsidRPr="00AA5361">
              <w:rPr>
                <w:rFonts w:cs="Times New Roman"/>
                <w:position w:val="10"/>
              </w:rPr>
              <w:t xml:space="preserve"> </w:t>
            </w:r>
            <w:r w:rsidRPr="00AA5361">
              <w:rPr>
                <w:rFonts w:cs="Times New Roman"/>
              </w:rPr>
              <w:t>year only)</w:t>
            </w:r>
          </w:p>
        </w:tc>
        <w:tc>
          <w:tcPr>
            <w:tcW w:w="1340" w:type="dxa"/>
            <w:tcBorders>
              <w:top w:val="single" w:sz="8" w:space="0" w:color="101110"/>
              <w:left w:val="single" w:sz="8" w:space="0" w:color="111110"/>
              <w:bottom w:val="single" w:sz="8" w:space="0" w:color="1011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$200</w:t>
            </w:r>
          </w:p>
        </w:tc>
      </w:tr>
      <w:tr w:rsidR="00AA5361" w:rsidRPr="00AA5361">
        <w:tblPrEx>
          <w:tblBorders>
            <w:top w:val="none" w:sz="0" w:space="0" w:color="auto"/>
          </w:tblBorders>
          <w:tblCellMar>
            <w:top w:w="0" w:type="dxa"/>
            <w:bottom w:w="0" w:type="dxa"/>
          </w:tblCellMar>
        </w:tblPrEx>
        <w:tc>
          <w:tcPr>
            <w:tcW w:w="8120" w:type="dxa"/>
            <w:tcBorders>
              <w:top w:val="single" w:sz="8" w:space="0" w:color="1112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Application Fee* (non-refundable – 1</w:t>
            </w:r>
            <w:proofErr w:type="spellStart"/>
            <w:r w:rsidRPr="00AA5361">
              <w:rPr>
                <w:rFonts w:cs="Times New Roman"/>
                <w:position w:val="10"/>
              </w:rPr>
              <w:t>st</w:t>
            </w:r>
            <w:proofErr w:type="spellEnd"/>
            <w:r w:rsidRPr="00AA5361">
              <w:rPr>
                <w:rFonts w:cs="Times New Roman"/>
                <w:position w:val="10"/>
              </w:rPr>
              <w:t xml:space="preserve"> </w:t>
            </w:r>
            <w:r w:rsidRPr="00AA5361">
              <w:rPr>
                <w:rFonts w:cs="Times New Roman"/>
              </w:rPr>
              <w:t>year only)</w:t>
            </w:r>
          </w:p>
        </w:tc>
        <w:tc>
          <w:tcPr>
            <w:tcW w:w="1340" w:type="dxa"/>
            <w:tcBorders>
              <w:top w:val="single" w:sz="8" w:space="0" w:color="101110"/>
              <w:left w:val="single" w:sz="8" w:space="0" w:color="111110"/>
              <w:bottom w:val="single" w:sz="8" w:space="0" w:color="1011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$200</w:t>
            </w:r>
          </w:p>
        </w:tc>
      </w:tr>
      <w:tr w:rsidR="00AA5361" w:rsidRPr="00AA5361">
        <w:tblPrEx>
          <w:tblBorders>
            <w:top w:val="none" w:sz="0" w:space="0" w:color="auto"/>
          </w:tblBorders>
          <w:tblCellMar>
            <w:top w:w="0" w:type="dxa"/>
            <w:bottom w:w="0" w:type="dxa"/>
          </w:tblCellMar>
        </w:tblPrEx>
        <w:tc>
          <w:tcPr>
            <w:tcW w:w="8120" w:type="dxa"/>
            <w:tcBorders>
              <w:top w:val="single" w:sz="8" w:space="0" w:color="1112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Registration Fee (non-refundable)</w:t>
            </w:r>
          </w:p>
        </w:tc>
        <w:tc>
          <w:tcPr>
            <w:tcW w:w="1340" w:type="dxa"/>
            <w:tcBorders>
              <w:top w:val="single" w:sz="8" w:space="0" w:color="1011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$500</w:t>
            </w:r>
          </w:p>
        </w:tc>
      </w:tr>
      <w:tr w:rsidR="00AA5361" w:rsidRPr="00AA5361">
        <w:tblPrEx>
          <w:tblBorders>
            <w:top w:val="none" w:sz="0" w:space="0" w:color="auto"/>
          </w:tblBorders>
          <w:tblCellMar>
            <w:top w:w="0" w:type="dxa"/>
            <w:bottom w:w="0" w:type="dxa"/>
          </w:tblCellMar>
        </w:tblPrEx>
        <w:tc>
          <w:tcPr>
            <w:tcW w:w="8120" w:type="dxa"/>
            <w:tcBorders>
              <w:top w:val="single" w:sz="8" w:space="0" w:color="111210"/>
              <w:left w:val="single" w:sz="8" w:space="0" w:color="101110"/>
              <w:bottom w:val="single" w:sz="8" w:space="0" w:color="111210"/>
              <w:right w:val="single" w:sz="8" w:space="0" w:color="10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Class Dues 9</w:t>
            </w:r>
            <w:proofErr w:type="spellStart"/>
            <w:r w:rsidRPr="00AA5361">
              <w:rPr>
                <w:rFonts w:cs="Times New Roman"/>
                <w:position w:val="10"/>
              </w:rPr>
              <w:t>th</w:t>
            </w:r>
            <w:proofErr w:type="spellEnd"/>
            <w:r w:rsidRPr="00AA5361">
              <w:rPr>
                <w:rFonts w:cs="Times New Roman"/>
                <w:position w:val="10"/>
              </w:rPr>
              <w:t xml:space="preserve"> </w:t>
            </w:r>
            <w:r w:rsidRPr="00AA5361">
              <w:rPr>
                <w:rFonts w:cs="Times New Roman"/>
              </w:rPr>
              <w:t>&amp; 10</w:t>
            </w:r>
            <w:proofErr w:type="spellStart"/>
            <w:r w:rsidRPr="00AA5361">
              <w:rPr>
                <w:rFonts w:cs="Times New Roman"/>
                <w:position w:val="10"/>
              </w:rPr>
              <w:t>th</w:t>
            </w:r>
            <w:proofErr w:type="spellEnd"/>
            <w:r w:rsidRPr="00AA5361">
              <w:rPr>
                <w:rFonts w:cs="Times New Roman"/>
                <w:position w:val="10"/>
              </w:rPr>
              <w:t xml:space="preserve"> </w:t>
            </w:r>
            <w:r w:rsidRPr="00AA5361">
              <w:rPr>
                <w:rFonts w:cs="Times New Roman"/>
              </w:rPr>
              <w:t>grade 11</w:t>
            </w:r>
            <w:proofErr w:type="spellStart"/>
            <w:r w:rsidRPr="00AA5361">
              <w:rPr>
                <w:rFonts w:cs="Times New Roman"/>
                <w:position w:val="10"/>
              </w:rPr>
              <w:t>th</w:t>
            </w:r>
            <w:proofErr w:type="spellEnd"/>
            <w:r w:rsidRPr="00AA5361">
              <w:rPr>
                <w:rFonts w:cs="Times New Roman"/>
                <w:position w:val="10"/>
              </w:rPr>
              <w:t xml:space="preserve"> </w:t>
            </w:r>
            <w:r w:rsidRPr="00AA5361">
              <w:rPr>
                <w:rFonts w:cs="Times New Roman"/>
              </w:rPr>
              <w:t>&amp; 12</w:t>
            </w:r>
            <w:proofErr w:type="spellStart"/>
            <w:r w:rsidRPr="00AA5361">
              <w:rPr>
                <w:rFonts w:cs="Times New Roman"/>
                <w:position w:val="10"/>
              </w:rPr>
              <w:t>th</w:t>
            </w:r>
            <w:proofErr w:type="spellEnd"/>
            <w:r w:rsidRPr="00AA5361">
              <w:rPr>
                <w:rFonts w:cs="Times New Roman"/>
                <w:position w:val="10"/>
              </w:rPr>
              <w:t xml:space="preserve"> </w:t>
            </w:r>
            <w:r w:rsidRPr="00AA5361">
              <w:rPr>
                <w:rFonts w:cs="Times New Roman"/>
              </w:rPr>
              <w:t>grade</w:t>
            </w:r>
          </w:p>
        </w:tc>
        <w:tc>
          <w:tcPr>
            <w:tcW w:w="1340" w:type="dxa"/>
            <w:tcBorders>
              <w:top w:val="single" w:sz="8" w:space="0" w:color="111210"/>
              <w:left w:val="single" w:sz="8" w:space="0" w:color="101110"/>
              <w:bottom w:val="single" w:sz="8" w:space="0" w:color="101110"/>
              <w:right w:val="single" w:sz="8" w:space="0" w:color="10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$50 $100</w:t>
            </w:r>
          </w:p>
        </w:tc>
      </w:tr>
      <w:tr w:rsidR="00AA5361" w:rsidRPr="00AA5361">
        <w:tblPrEx>
          <w:tblBorders>
            <w:top w:val="none" w:sz="0" w:space="0" w:color="auto"/>
          </w:tblBorders>
          <w:tblCellMar>
            <w:top w:w="0" w:type="dxa"/>
            <w:bottom w:w="0" w:type="dxa"/>
          </w:tblCellMar>
        </w:tblPrEx>
        <w:tc>
          <w:tcPr>
            <w:tcW w:w="8120" w:type="dxa"/>
            <w:tcBorders>
              <w:top w:val="single" w:sz="8" w:space="0" w:color="1112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First Semester Total, First Year Student</w:t>
            </w:r>
          </w:p>
        </w:tc>
        <w:tc>
          <w:tcPr>
            <w:tcW w:w="1340" w:type="dxa"/>
            <w:tcBorders>
              <w:top w:val="single" w:sz="8" w:space="0" w:color="101110"/>
              <w:left w:val="single" w:sz="8" w:space="0" w:color="111110"/>
              <w:bottom w:val="single" w:sz="8" w:space="0" w:color="1011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$7,500</w:t>
            </w:r>
          </w:p>
        </w:tc>
      </w:tr>
      <w:tr w:rsidR="00AA5361" w:rsidRPr="00AA5361">
        <w:tblPrEx>
          <w:tblBorders>
            <w:top w:val="none" w:sz="0" w:space="0" w:color="auto"/>
          </w:tblBorders>
          <w:tblCellMar>
            <w:top w:w="0" w:type="dxa"/>
            <w:bottom w:w="0" w:type="dxa"/>
          </w:tblCellMar>
        </w:tblPrEx>
        <w:tc>
          <w:tcPr>
            <w:tcW w:w="8120" w:type="dxa"/>
            <w:tcBorders>
              <w:top w:val="single" w:sz="8" w:space="0" w:color="1112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w:b/>
                <w:bCs/>
              </w:rPr>
              <w:t>Tuition (2</w:t>
            </w:r>
            <w:proofErr w:type="spellStart"/>
            <w:r w:rsidRPr="00AA5361">
              <w:rPr>
                <w:rFonts w:cs="Times"/>
                <w:b/>
                <w:bCs/>
                <w:position w:val="10"/>
              </w:rPr>
              <w:t>nd</w:t>
            </w:r>
            <w:proofErr w:type="spellEnd"/>
            <w:r w:rsidRPr="00AA5361">
              <w:rPr>
                <w:rFonts w:cs="Times"/>
                <w:b/>
                <w:bCs/>
                <w:position w:val="10"/>
              </w:rPr>
              <w:t xml:space="preserve"> </w:t>
            </w:r>
            <w:r w:rsidRPr="00AA5361">
              <w:rPr>
                <w:rFonts w:cs="Times"/>
                <w:b/>
                <w:bCs/>
              </w:rPr>
              <w:t>Semester) Due January 15, 2015</w:t>
            </w:r>
          </w:p>
        </w:tc>
        <w:tc>
          <w:tcPr>
            <w:tcW w:w="1340" w:type="dxa"/>
            <w:tcBorders>
              <w:top w:val="single" w:sz="8" w:space="0" w:color="101110"/>
              <w:left w:val="single" w:sz="8" w:space="0" w:color="111110"/>
              <w:bottom w:val="single" w:sz="8" w:space="0" w:color="1011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$5,000</w:t>
            </w:r>
          </w:p>
        </w:tc>
      </w:tr>
      <w:tr w:rsidR="00AA5361" w:rsidRPr="00AA5361">
        <w:tblPrEx>
          <w:tblBorders>
            <w:top w:val="none" w:sz="0" w:space="0" w:color="auto"/>
          </w:tblBorders>
          <w:tblCellMar>
            <w:top w:w="0" w:type="dxa"/>
            <w:bottom w:w="0" w:type="dxa"/>
          </w:tblCellMar>
        </w:tblPrEx>
        <w:tc>
          <w:tcPr>
            <w:tcW w:w="8120" w:type="dxa"/>
            <w:tcBorders>
              <w:top w:val="single" w:sz="8" w:space="0" w:color="1112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TOTAL for First Year of Acceptance to PSAA</w:t>
            </w:r>
          </w:p>
        </w:tc>
        <w:tc>
          <w:tcPr>
            <w:tcW w:w="1340" w:type="dxa"/>
            <w:tcBorders>
              <w:top w:val="single" w:sz="8" w:space="0" w:color="101110"/>
              <w:left w:val="single" w:sz="8" w:space="0" w:color="111110"/>
              <w:bottom w:val="single" w:sz="8" w:space="0" w:color="1011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$12,500</w:t>
            </w:r>
          </w:p>
        </w:tc>
      </w:tr>
      <w:tr w:rsidR="00AA5361" w:rsidRPr="00AA5361">
        <w:tblPrEx>
          <w:tblBorders>
            <w:top w:val="none" w:sz="0" w:space="0" w:color="auto"/>
          </w:tblBorders>
          <w:tblCellMar>
            <w:top w:w="0" w:type="dxa"/>
            <w:bottom w:w="0" w:type="dxa"/>
          </w:tblCellMar>
        </w:tblPrEx>
        <w:tc>
          <w:tcPr>
            <w:tcW w:w="8120" w:type="dxa"/>
            <w:tcBorders>
              <w:top w:val="single" w:sz="8" w:space="0" w:color="1112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First Semester Total for Second Year Returning Student</w:t>
            </w:r>
          </w:p>
        </w:tc>
        <w:tc>
          <w:tcPr>
            <w:tcW w:w="1340" w:type="dxa"/>
            <w:tcBorders>
              <w:top w:val="single" w:sz="8" w:space="0" w:color="101110"/>
              <w:left w:val="single" w:sz="8" w:space="0" w:color="111110"/>
              <w:bottom w:val="single" w:sz="8" w:space="0" w:color="1011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$7,300</w:t>
            </w:r>
          </w:p>
        </w:tc>
      </w:tr>
      <w:tr w:rsidR="00AA5361" w:rsidRPr="00AA5361">
        <w:tblPrEx>
          <w:tblCellMar>
            <w:top w:w="0" w:type="dxa"/>
            <w:bottom w:w="0" w:type="dxa"/>
          </w:tblCellMar>
        </w:tblPrEx>
        <w:tc>
          <w:tcPr>
            <w:tcW w:w="8120" w:type="dxa"/>
            <w:tcBorders>
              <w:top w:val="single" w:sz="8" w:space="0" w:color="111210"/>
              <w:left w:val="single" w:sz="8" w:space="0" w:color="111110"/>
              <w:bottom w:val="single" w:sz="8" w:space="0" w:color="1112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TOTAL for Second Year Returning Student</w:t>
            </w:r>
          </w:p>
        </w:tc>
        <w:tc>
          <w:tcPr>
            <w:tcW w:w="1340" w:type="dxa"/>
            <w:tcBorders>
              <w:top w:val="single" w:sz="8" w:space="0" w:color="101110"/>
              <w:left w:val="single" w:sz="8" w:space="0" w:color="111110"/>
              <w:bottom w:val="single" w:sz="8" w:space="0" w:color="101110"/>
              <w:right w:val="single" w:sz="8" w:space="0" w:color="111110"/>
            </w:tcBorders>
            <w:tcMar>
              <w:top w:w="20" w:type="nil"/>
              <w:left w:w="20" w:type="nil"/>
              <w:bottom w:w="20" w:type="nil"/>
              <w:right w:w="20" w:type="nil"/>
            </w:tcMar>
            <w:vAlign w:val="center"/>
          </w:tcPr>
          <w:p w:rsidR="00AA5361" w:rsidRPr="00AA5361" w:rsidRDefault="00AA5361">
            <w:pPr>
              <w:widowControl w:val="0"/>
              <w:autoSpaceDE w:val="0"/>
              <w:autoSpaceDN w:val="0"/>
              <w:adjustRightInd w:val="0"/>
              <w:spacing w:after="240"/>
              <w:rPr>
                <w:rFonts w:cs="Times"/>
              </w:rPr>
            </w:pPr>
            <w:r w:rsidRPr="00AA5361">
              <w:rPr>
                <w:rFonts w:cs="Times New Roman"/>
              </w:rPr>
              <w:t>$12,300</w:t>
            </w:r>
          </w:p>
        </w:tc>
      </w:tr>
    </w:tbl>
    <w:p w:rsidR="00AA5361" w:rsidRPr="00AA5361" w:rsidRDefault="00AA5361" w:rsidP="00AA5361">
      <w:pPr>
        <w:widowControl w:val="0"/>
        <w:autoSpaceDE w:val="0"/>
        <w:autoSpaceDN w:val="0"/>
        <w:adjustRightInd w:val="0"/>
        <w:spacing w:after="240"/>
        <w:rPr>
          <w:rFonts w:cs="Times"/>
        </w:rPr>
      </w:pPr>
      <w:r w:rsidRPr="00AA5361">
        <w:rPr>
          <w:rFonts w:cs="Times New Roman"/>
        </w:rPr>
        <w:t>(Rates subject to change)</w:t>
      </w:r>
    </w:p>
    <w:p w:rsidR="00AA5361" w:rsidRPr="00AA5361" w:rsidRDefault="00AA5361" w:rsidP="00AA5361">
      <w:pPr>
        <w:widowControl w:val="0"/>
        <w:autoSpaceDE w:val="0"/>
        <w:autoSpaceDN w:val="0"/>
        <w:adjustRightInd w:val="0"/>
        <w:spacing w:after="240"/>
        <w:rPr>
          <w:rFonts w:cs="Times"/>
        </w:rPr>
      </w:pPr>
      <w:r w:rsidRPr="00AA5361">
        <w:rPr>
          <w:rFonts w:cs="Times New Roman"/>
        </w:rPr>
        <w:t>*Incidentals: This charge includes hot lunch fees and other fees that come up during the year, such as music tour, sports, private music lesson, instrument rental, field trips, etc. If there is money left at the end of the school</w:t>
      </w:r>
      <w:r>
        <w:rPr>
          <w:rFonts w:cs="Times"/>
        </w:rPr>
        <w:t xml:space="preserve"> </w:t>
      </w:r>
      <w:r w:rsidRPr="00AA5361">
        <w:rPr>
          <w:rFonts w:cs="Times New Roman"/>
        </w:rPr>
        <w:t>year, the credit balance will be forwarded to the next school year’s incidental fund</w:t>
      </w:r>
      <w:r>
        <w:rPr>
          <w:rFonts w:cs="Times New Roman"/>
        </w:rPr>
        <w:t xml:space="preserve"> or will be refunded to the fi</w:t>
      </w:r>
      <w:r w:rsidRPr="00AA5361">
        <w:rPr>
          <w:rFonts w:cs="Times New Roman"/>
        </w:rPr>
        <w:t>nancially responsible party.</w:t>
      </w:r>
    </w:p>
    <w:p w:rsidR="00AA5361" w:rsidRPr="00AA5361" w:rsidRDefault="00AA5361" w:rsidP="00AA5361">
      <w:pPr>
        <w:widowControl w:val="0"/>
        <w:autoSpaceDE w:val="0"/>
        <w:autoSpaceDN w:val="0"/>
        <w:adjustRightInd w:val="0"/>
        <w:spacing w:after="240"/>
        <w:rPr>
          <w:rFonts w:cs="Times"/>
        </w:rPr>
      </w:pPr>
      <w:r w:rsidRPr="00AA5361">
        <w:rPr>
          <w:rFonts w:cs="Times New Roman"/>
        </w:rPr>
        <w:t>* Activity Fee: This charge is for the quarterly, cultural activities and international student celebrations. It is non-refundable.</w:t>
      </w:r>
    </w:p>
    <w:p w:rsidR="00AA5361" w:rsidRPr="00AA5361" w:rsidRDefault="00AA5361" w:rsidP="00AA5361">
      <w:pPr>
        <w:widowControl w:val="0"/>
        <w:autoSpaceDE w:val="0"/>
        <w:autoSpaceDN w:val="0"/>
        <w:adjustRightInd w:val="0"/>
        <w:spacing w:after="240"/>
        <w:rPr>
          <w:rFonts w:cs="Times"/>
        </w:rPr>
      </w:pPr>
      <w:r w:rsidRPr="00AA5361">
        <w:rPr>
          <w:rFonts w:cs="Times New Roman"/>
        </w:rPr>
        <w:t>*Application Fee: This one-time charge covers the cost of processing the application. It is non-refundable.</w:t>
      </w:r>
    </w:p>
    <w:p w:rsidR="00AA5361" w:rsidRPr="00AA5361" w:rsidRDefault="00AA5361" w:rsidP="00AA5361">
      <w:pPr>
        <w:widowControl w:val="0"/>
        <w:autoSpaceDE w:val="0"/>
        <w:autoSpaceDN w:val="0"/>
        <w:adjustRightInd w:val="0"/>
        <w:spacing w:after="240"/>
        <w:rPr>
          <w:rFonts w:cs="Times"/>
        </w:rPr>
      </w:pPr>
      <w:r w:rsidRPr="00AA5361">
        <w:rPr>
          <w:rFonts w:cs="Times New Roman"/>
        </w:rPr>
        <w:t>Withdrawal – Students who withdraw before the semester ends will not receive a refund for tuition paid for that semester.</w:t>
      </w:r>
    </w:p>
    <w:p w:rsidR="00AA5361" w:rsidRPr="00AA5361" w:rsidRDefault="00AA5361" w:rsidP="00AA5361">
      <w:pPr>
        <w:widowControl w:val="0"/>
        <w:autoSpaceDE w:val="0"/>
        <w:autoSpaceDN w:val="0"/>
        <w:adjustRightInd w:val="0"/>
        <w:spacing w:after="240"/>
        <w:rPr>
          <w:rFonts w:cs="Times"/>
        </w:rPr>
      </w:pPr>
      <w:r w:rsidRPr="00AA5361">
        <w:rPr>
          <w:rFonts w:cs="Times New Roman"/>
        </w:rPr>
        <w:t>The I-20 form will be issued only after the school faculty and the Registrar ha</w:t>
      </w:r>
      <w:r>
        <w:rPr>
          <w:rFonts w:cs="Times New Roman"/>
        </w:rPr>
        <w:t>ve reviewed the student’s tran</w:t>
      </w:r>
      <w:r w:rsidRPr="00AA5361">
        <w:rPr>
          <w:rFonts w:cs="Times New Roman"/>
        </w:rPr>
        <w:t>scripts and the student has been approved for acceptance into PSAA.</w:t>
      </w:r>
    </w:p>
    <w:p w:rsidR="00421D09" w:rsidRPr="00AA5361" w:rsidRDefault="00421D09">
      <w:bookmarkStart w:id="0" w:name="_GoBack"/>
      <w:bookmarkEnd w:id="0"/>
    </w:p>
    <w:sectPr w:rsidR="00421D09" w:rsidRPr="00AA5361" w:rsidSect="001D40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61"/>
    <w:rsid w:val="000151A3"/>
    <w:rsid w:val="00421D09"/>
    <w:rsid w:val="00AA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7A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Macintosh Word</Application>
  <DocSecurity>0</DocSecurity>
  <Lines>25</Lines>
  <Paragraphs>7</Paragraphs>
  <ScaleCrop>false</ScaleCrop>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Baker</dc:creator>
  <cp:keywords/>
  <dc:description/>
  <cp:lastModifiedBy>Glen Baker</cp:lastModifiedBy>
  <cp:revision>1</cp:revision>
  <dcterms:created xsi:type="dcterms:W3CDTF">2014-11-17T23:15:00Z</dcterms:created>
  <dcterms:modified xsi:type="dcterms:W3CDTF">2014-11-17T23:17:00Z</dcterms:modified>
</cp:coreProperties>
</file>