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1693C" w:rsidRDefault="00C1693C" w:rsidP="00C1693C">
      <w:pPr>
        <w:numPr>
          <w:ilvl w:val="0"/>
          <w:numId w:val="1"/>
        </w:numPr>
      </w:pPr>
      <w:r w:rsidRPr="00C1693C">
        <w:rPr>
          <w:b/>
          <w:bCs/>
        </w:rPr>
        <w:t>A.)</w:t>
      </w:r>
      <w:r w:rsidRPr="00C1693C">
        <w:t xml:space="preserve"> </w:t>
      </w:r>
    </w:p>
    <w:p w:rsidR="00C1693C" w:rsidRPr="00C1693C" w:rsidRDefault="00C1693C" w:rsidP="00C1693C">
      <w:pPr>
        <w:rPr>
          <w:b/>
        </w:rPr>
      </w:pPr>
      <w:r w:rsidRPr="00C1693C">
        <w:rPr>
          <w:i/>
          <w:iCs/>
        </w:rPr>
        <w:tab/>
      </w:r>
      <w:r w:rsidRPr="00C1693C">
        <w:rPr>
          <w:b/>
          <w:i/>
          <w:iCs/>
        </w:rPr>
        <w:t xml:space="preserve">Discuss some of the ways in which Romantic artists, musicians, and writers responded to political and socio-economic conditions in the period from 1800-1850. Document your response with specific examples from discussions of at least 2 of the 3 disciplines: visual arts, music, </w:t>
      </w:r>
      <w:proofErr w:type="gramStart"/>
      <w:r w:rsidRPr="00C1693C">
        <w:rPr>
          <w:b/>
          <w:i/>
          <w:iCs/>
        </w:rPr>
        <w:t>literature</w:t>
      </w:r>
      <w:proofErr w:type="gramEnd"/>
      <w:r w:rsidRPr="00C1693C">
        <w:rPr>
          <w:b/>
        </w:rPr>
        <w:t>.</w:t>
      </w:r>
    </w:p>
    <w:p w:rsidR="007C3B9B" w:rsidRDefault="00C1693C">
      <w:pPr>
        <w:rPr>
          <w:b/>
        </w:rPr>
      </w:pPr>
      <w:r w:rsidRPr="00C1693C">
        <w:rPr>
          <w:b/>
        </w:rPr>
        <w:t>OR</w:t>
      </w:r>
    </w:p>
    <w:p w:rsidR="00C1693C" w:rsidRDefault="00C1693C">
      <w:pPr>
        <w:rPr>
          <w:b/>
        </w:rPr>
      </w:pPr>
    </w:p>
    <w:p w:rsidR="00000000" w:rsidRPr="00C1693C" w:rsidRDefault="00C1693C" w:rsidP="00C1693C">
      <w:pPr>
        <w:numPr>
          <w:ilvl w:val="0"/>
          <w:numId w:val="2"/>
        </w:numPr>
        <w:rPr>
          <w:b/>
        </w:rPr>
      </w:pPr>
      <w:r w:rsidRPr="00C1693C">
        <w:rPr>
          <w:b/>
          <w:bCs/>
        </w:rPr>
        <w:t>B.)</w:t>
      </w:r>
      <w:r w:rsidRPr="00C1693C">
        <w:rPr>
          <w:b/>
        </w:rPr>
        <w:t xml:space="preserve"> </w:t>
      </w:r>
    </w:p>
    <w:p w:rsidR="00C1693C" w:rsidRPr="00C1693C" w:rsidRDefault="00C1693C" w:rsidP="00C1693C">
      <w:pPr>
        <w:rPr>
          <w:b/>
        </w:rPr>
      </w:pPr>
      <w:r w:rsidRPr="00C1693C">
        <w:rPr>
          <w:b/>
          <w:i/>
          <w:iCs/>
        </w:rPr>
        <w:tab/>
        <w:t>Describe and Analyze the ways in which Marxism, Freudianism, and the women’s movement challenged traditional European beliefs before the first World War.</w:t>
      </w:r>
    </w:p>
    <w:p w:rsidR="00C1693C" w:rsidRPr="00C1693C" w:rsidRDefault="00C1693C">
      <w:pPr>
        <w:rPr>
          <w:b/>
        </w:rPr>
      </w:pPr>
    </w:p>
    <w:sectPr w:rsidR="00C1693C" w:rsidRPr="00C1693C" w:rsidSect="007C3B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D42E9"/>
    <w:multiLevelType w:val="hybridMultilevel"/>
    <w:tmpl w:val="59C41D8E"/>
    <w:lvl w:ilvl="0" w:tplc="1C28B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8C5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5458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EC89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7CA4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4AE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0A16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F606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1C8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55BC530A"/>
    <w:multiLevelType w:val="hybridMultilevel"/>
    <w:tmpl w:val="E62EFE20"/>
    <w:lvl w:ilvl="0" w:tplc="BF022D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46EF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8AC1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1A2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EE01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5E12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B26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4A9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DAA6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compat/>
  <w:rsids>
    <w:rsidRoot w:val="00C1693C"/>
    <w:rsid w:val="007C3B9B"/>
    <w:rsid w:val="00C16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B9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6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546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062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2013-03-12T18:43:00Z</dcterms:created>
  <dcterms:modified xsi:type="dcterms:W3CDTF">2013-03-12T18:45:00Z</dcterms:modified>
</cp:coreProperties>
</file>