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4873"/>
        <w:gridCol w:w="4870"/>
      </w:tblGrid>
      <w:tr w:rsidR="00005F54" w:rsidRPr="00F973C7">
        <w:trPr>
          <w:trHeight w:val="998"/>
        </w:trPr>
        <w:tc>
          <w:tcPr>
            <w:tcW w:w="1667" w:type="pc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Autor/Origen: </w:t>
            </w:r>
          </w:p>
          <w:p w:rsidR="00F973C7" w:rsidRPr="00F973C7" w:rsidRDefault="00F973C7" w:rsidP="00203261">
            <w:pPr>
              <w:spacing w:after="0" w:line="240" w:lineRule="auto"/>
              <w:rPr>
                <w:bCs/>
                <w:lang w:val="es-DO"/>
              </w:rPr>
            </w:pPr>
            <w:r>
              <w:rPr>
                <w:bCs/>
                <w:lang w:val="es-DO"/>
              </w:rPr>
              <w:t>Compilador Miguel León Portilla, México, DF</w:t>
            </w:r>
          </w:p>
          <w:p w:rsidR="00005F54" w:rsidRDefault="00F973C7" w:rsidP="00203261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 xml:space="preserve">Cronista : </w:t>
            </w:r>
            <w:r w:rsidR="00BB3A0B">
              <w:rPr>
                <w:lang w:val="es-DO"/>
              </w:rPr>
              <w:t>Bernardino de Sahagún</w:t>
            </w:r>
          </w:p>
          <w:p w:rsidR="00BB3A0B" w:rsidRPr="00203261" w:rsidRDefault="00BB3A0B" w:rsidP="00203261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 xml:space="preserve"> Español vivió en México</w:t>
            </w:r>
          </w:p>
        </w:tc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Obra: </w:t>
            </w:r>
          </w:p>
          <w:p w:rsidR="00005F54" w:rsidRPr="00203261" w:rsidRDefault="007E0AC9" w:rsidP="00381F1F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>Los Presagios</w:t>
            </w:r>
          </w:p>
        </w:tc>
        <w:tc>
          <w:tcPr>
            <w:tcW w:w="1666" w:type="pct"/>
            <w:vMerge w:val="restar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Contexto histórico y geopolítico:</w:t>
            </w:r>
          </w:p>
          <w:p w:rsidR="00750274" w:rsidRPr="00203261" w:rsidRDefault="00BB3A0B" w:rsidP="00381F1F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 xml:space="preserve">Fraile franciscano que </w:t>
            </w:r>
            <w:r w:rsidR="007E0AC9">
              <w:rPr>
                <w:lang w:val="es-DO"/>
              </w:rPr>
              <w:t>evangelizó</w:t>
            </w:r>
            <w:r>
              <w:rPr>
                <w:lang w:val="es-DO"/>
              </w:rPr>
              <w:t xml:space="preserve"> la Nueva </w:t>
            </w:r>
            <w:r w:rsidR="007E0AC9">
              <w:rPr>
                <w:lang w:val="es-DO"/>
              </w:rPr>
              <w:t>España</w:t>
            </w:r>
            <w:r>
              <w:rPr>
                <w:lang w:val="es-DO"/>
              </w:rPr>
              <w:t xml:space="preserve">. </w:t>
            </w:r>
            <w:r w:rsidR="00A6171A">
              <w:rPr>
                <w:lang w:val="es-DO"/>
              </w:rPr>
              <w:t>Aprendió</w:t>
            </w:r>
            <w:r>
              <w:rPr>
                <w:lang w:val="es-DO"/>
              </w:rPr>
              <w:t xml:space="preserve"> </w:t>
            </w:r>
            <w:r w:rsidR="00A6171A">
              <w:rPr>
                <w:lang w:val="es-DO"/>
              </w:rPr>
              <w:t>náhuatl</w:t>
            </w:r>
            <w:r>
              <w:rPr>
                <w:lang w:val="es-DO"/>
              </w:rPr>
              <w:t xml:space="preserve"> y logro entrevistar a los indígenas y </w:t>
            </w:r>
            <w:r w:rsidR="00A6171A">
              <w:rPr>
                <w:lang w:val="es-DO"/>
              </w:rPr>
              <w:t>así</w:t>
            </w:r>
            <w:r>
              <w:rPr>
                <w:lang w:val="es-DO"/>
              </w:rPr>
              <w:t xml:space="preserve"> conservar los recuerdos y hechos </w:t>
            </w:r>
            <w:r w:rsidR="00A6171A">
              <w:rPr>
                <w:lang w:val="es-DO"/>
              </w:rPr>
              <w:t>históricos</w:t>
            </w:r>
            <w:r>
              <w:rPr>
                <w:lang w:val="es-DO"/>
              </w:rPr>
              <w:t xml:space="preserve"> del punto de vista de los indígenas, de los vencidos y no de los conquistadores</w:t>
            </w:r>
            <w:r w:rsidR="00A6171A">
              <w:rPr>
                <w:lang w:val="es-DO"/>
              </w:rPr>
              <w:t>.</w:t>
            </w:r>
          </w:p>
        </w:tc>
      </w:tr>
      <w:tr w:rsidR="00005F54" w:rsidRPr="00F973C7" w:rsidTr="00CD0DB4">
        <w:trPr>
          <w:trHeight w:val="530"/>
        </w:trPr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Corriente literaria: </w:t>
            </w:r>
          </w:p>
          <w:p w:rsidR="00005F54" w:rsidRDefault="007E0AC9" w:rsidP="00203261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>Época</w:t>
            </w:r>
            <w:r w:rsidR="00BB3A0B">
              <w:rPr>
                <w:lang w:val="es-DO"/>
              </w:rPr>
              <w:t xml:space="preserve"> colonial Renacimiento</w:t>
            </w: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Estructura: </w:t>
            </w:r>
          </w:p>
          <w:p w:rsidR="00005F54" w:rsidRDefault="007E0AC9" w:rsidP="00381F1F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>Dividido en 8 presagios</w:t>
            </w:r>
          </w:p>
          <w:p w:rsidR="00F973C7" w:rsidRPr="00203261" w:rsidRDefault="00F973C7" w:rsidP="00381F1F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>Especie de antología que narra los hechos acaecidos antes de la conquista española.</w:t>
            </w:r>
            <w:r w:rsidR="00365731">
              <w:rPr>
                <w:lang w:val="es-DO"/>
              </w:rPr>
              <w:t xml:space="preserve"> “</w:t>
            </w:r>
            <w:r w:rsidR="00914427">
              <w:rPr>
                <w:lang w:val="es-DO"/>
              </w:rPr>
              <w:t xml:space="preserve">Explica que </w:t>
            </w:r>
            <w:r w:rsidR="00365731">
              <w:rPr>
                <w:lang w:val="es-DO"/>
              </w:rPr>
              <w:t>más</w:t>
            </w:r>
            <w:r w:rsidR="00914427">
              <w:rPr>
                <w:lang w:val="es-DO"/>
              </w:rPr>
              <w:t xml:space="preserve"> importante que la presentación de los hechos históricos es su valor humano porque los textos nos informan sobre como vieron e interpretaron los indios nahuas de diversas ciudades y procedencias la conquista de su tierra.</w:t>
            </w:r>
            <w:r w:rsidR="00365731">
              <w:rPr>
                <w:lang w:val="es-DO"/>
              </w:rPr>
              <w:t>”</w:t>
            </w: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F973C7">
        <w:trPr>
          <w:trHeight w:val="1862"/>
        </w:trPr>
        <w:tc>
          <w:tcPr>
            <w:tcW w:w="1667" w:type="pc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Personajes: </w:t>
            </w:r>
          </w:p>
          <w:p w:rsidR="007E0AC9" w:rsidRPr="00176E75" w:rsidRDefault="00A21143" w:rsidP="00203261">
            <w:pPr>
              <w:spacing w:after="0" w:line="240" w:lineRule="auto"/>
              <w:rPr>
                <w:bCs/>
                <w:lang w:val="es-DO"/>
              </w:rPr>
            </w:pPr>
            <w:r w:rsidRPr="00176E75">
              <w:rPr>
                <w:bCs/>
                <w:lang w:val="es-DO"/>
              </w:rPr>
              <w:t>Los mexicas</w:t>
            </w:r>
          </w:p>
          <w:p w:rsidR="00A21143" w:rsidRPr="00176E75" w:rsidRDefault="00A21143" w:rsidP="00203261">
            <w:pPr>
              <w:spacing w:after="0" w:line="240" w:lineRule="auto"/>
              <w:rPr>
                <w:bCs/>
                <w:lang w:val="es-DO"/>
              </w:rPr>
            </w:pPr>
            <w:r w:rsidRPr="00176E75">
              <w:rPr>
                <w:bCs/>
                <w:lang w:val="es-DO"/>
              </w:rPr>
              <w:t>Moctezuma</w:t>
            </w:r>
          </w:p>
          <w:p w:rsidR="00A21143" w:rsidRPr="00176E75" w:rsidRDefault="00A21143" w:rsidP="00203261">
            <w:pPr>
              <w:spacing w:after="0" w:line="240" w:lineRule="auto"/>
              <w:rPr>
                <w:bCs/>
                <w:lang w:val="es-DO"/>
              </w:rPr>
            </w:pPr>
            <w:r w:rsidRPr="00176E75">
              <w:rPr>
                <w:bCs/>
                <w:lang w:val="es-DO"/>
              </w:rPr>
              <w:t>Los magos</w:t>
            </w:r>
          </w:p>
          <w:p w:rsidR="00ED7DB7" w:rsidRPr="00ED7DB7" w:rsidRDefault="00A21143" w:rsidP="00203261">
            <w:pPr>
              <w:spacing w:after="0" w:line="240" w:lineRule="auto"/>
              <w:rPr>
                <w:bCs/>
                <w:lang w:val="es-DO"/>
              </w:rPr>
            </w:pPr>
            <w:r w:rsidRPr="00176E75">
              <w:rPr>
                <w:bCs/>
                <w:lang w:val="es-DO"/>
              </w:rPr>
              <w:t>Los sabios</w:t>
            </w: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</w:tcPr>
          <w:p w:rsidR="00ED7DB7" w:rsidRPr="00ED7DB7" w:rsidRDefault="00005F54" w:rsidP="0020326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s-DO"/>
              </w:rPr>
            </w:pPr>
            <w:r w:rsidRPr="00CE0D1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DO"/>
              </w:rPr>
              <w:t>Objetivo:</w:t>
            </w:r>
            <w:r w:rsidRPr="00203261">
              <w:rPr>
                <w:rFonts w:ascii="Calibri" w:hAnsi="Calibri" w:cs="Calibri"/>
                <w:sz w:val="22"/>
                <w:szCs w:val="22"/>
                <w:lang w:val="es-DO"/>
              </w:rPr>
              <w:t xml:space="preserve"> </w:t>
            </w:r>
            <w:r w:rsidR="00F973C7">
              <w:rPr>
                <w:rFonts w:ascii="Calibri" w:hAnsi="Calibri" w:cs="Calibri"/>
                <w:sz w:val="22"/>
                <w:szCs w:val="22"/>
                <w:lang w:val="es-DO"/>
              </w:rPr>
              <w:t xml:space="preserve">Su fin es dar a conocer ha historia de la Conquista del punto de vista de los mexica y la literatura náhuatl </w:t>
            </w: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F973C7">
        <w:tc>
          <w:tcPr>
            <w:tcW w:w="1667" w:type="pc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Tema(s): </w:t>
            </w:r>
          </w:p>
          <w:p w:rsidR="00176E75" w:rsidRDefault="00176E75" w:rsidP="00203261">
            <w:pPr>
              <w:spacing w:after="0" w:line="240" w:lineRule="auto"/>
              <w:rPr>
                <w:bCs/>
                <w:lang w:val="es-DO"/>
              </w:rPr>
            </w:pPr>
            <w:r w:rsidRPr="00176E75">
              <w:rPr>
                <w:bCs/>
                <w:lang w:val="es-DO"/>
              </w:rPr>
              <w:t xml:space="preserve">La </w:t>
            </w:r>
            <w:r>
              <w:rPr>
                <w:bCs/>
                <w:lang w:val="es-DO"/>
              </w:rPr>
              <w:t>sociedades en contacto</w:t>
            </w:r>
          </w:p>
          <w:p w:rsidR="00176E75" w:rsidRPr="00176E75" w:rsidRDefault="00176E75" w:rsidP="00203261">
            <w:pPr>
              <w:spacing w:after="0" w:line="240" w:lineRule="auto"/>
              <w:rPr>
                <w:bCs/>
                <w:lang w:val="es-DO"/>
              </w:rPr>
            </w:pPr>
            <w:r>
              <w:rPr>
                <w:bCs/>
                <w:lang w:val="es-DO"/>
              </w:rPr>
              <w:t>La creación literaria</w:t>
            </w:r>
          </w:p>
          <w:p w:rsidR="00005F54" w:rsidRPr="006A2BAA" w:rsidRDefault="00B13D20" w:rsidP="00203261">
            <w:pPr>
              <w:spacing w:after="0" w:line="240" w:lineRule="auto"/>
              <w:rPr>
                <w:bCs/>
                <w:lang w:val="es-DO"/>
              </w:rPr>
            </w:pPr>
            <w:r>
              <w:rPr>
                <w:bCs/>
                <w:lang w:val="es-DO"/>
              </w:rPr>
              <w:t>Las relaciones interpersonales</w:t>
            </w: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Ambiente de la obra:</w:t>
            </w:r>
          </w:p>
          <w:p w:rsidR="00005F54" w:rsidRPr="00CD0DB4" w:rsidRDefault="00BA0349" w:rsidP="00203261">
            <w:pPr>
              <w:spacing w:after="0" w:line="240" w:lineRule="auto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México antes de la conquista en Tenochtitlan</w:t>
            </w:r>
            <w:r w:rsidR="00365731">
              <w:rPr>
                <w:sz w:val="20"/>
                <w:szCs w:val="20"/>
                <w:lang w:val="es-DO"/>
              </w:rPr>
              <w:t xml:space="preserve"> (1509-1520)</w:t>
            </w: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CE0D17">
        <w:tc>
          <w:tcPr>
            <w:tcW w:w="1667" w:type="pc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Conceptos Organizadores: </w:t>
            </w:r>
          </w:p>
          <w:p w:rsidR="00005F54" w:rsidRPr="006A2BAA" w:rsidRDefault="00BA0349" w:rsidP="00203261">
            <w:pPr>
              <w:spacing w:after="0" w:line="240" w:lineRule="auto"/>
              <w:rPr>
                <w:bCs/>
                <w:lang w:val="es-DO"/>
              </w:rPr>
            </w:pPr>
            <w:r>
              <w:rPr>
                <w:bCs/>
                <w:lang w:val="es-DO"/>
              </w:rPr>
              <w:t>La diversidad, el imperialismo, el nacionalismo y el regionalismo</w:t>
            </w: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  <w:vMerge w:val="restar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Resumen:</w:t>
            </w:r>
          </w:p>
          <w:p w:rsidR="00005F54" w:rsidRPr="00CD0DB4" w:rsidRDefault="005D4448" w:rsidP="005D4448">
            <w:pPr>
              <w:spacing w:after="0" w:line="240" w:lineRule="auto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Los presagios relatan los</w:t>
            </w:r>
            <w:r w:rsidR="005737F1">
              <w:rPr>
                <w:sz w:val="20"/>
                <w:szCs w:val="20"/>
                <w:lang w:val="es-DO"/>
              </w:rPr>
              <w:t xml:space="preserve"> presagios funestos que según los indios afirmaron ver diez años antes de la llegada de los conquistadores.</w:t>
            </w:r>
          </w:p>
        </w:tc>
        <w:tc>
          <w:tcPr>
            <w:tcW w:w="1666" w:type="pct"/>
            <w:vMerge w:val="restar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Recursos audiovisuales:</w:t>
            </w:r>
          </w:p>
          <w:p w:rsidR="00750274" w:rsidRDefault="00750274" w:rsidP="00750274">
            <w:pPr>
              <w:spacing w:after="0" w:line="240" w:lineRule="auto"/>
              <w:rPr>
                <w:lang w:val="es-DO"/>
              </w:rPr>
            </w:pPr>
            <w:hyperlink r:id="rId6" w:history="1">
              <w:r w:rsidRPr="00C3738D">
                <w:rPr>
                  <w:rStyle w:val="Hyperlink"/>
                  <w:lang w:val="es-DO"/>
                </w:rPr>
                <w:t>http://</w:t>
              </w:r>
              <w:proofErr w:type="spellStart"/>
              <w:r w:rsidRPr="00C3738D">
                <w:rPr>
                  <w:rStyle w:val="Hyperlink"/>
                  <w:lang w:val="es-DO"/>
                </w:rPr>
                <w:t>www.history.com</w:t>
              </w:r>
              <w:proofErr w:type="spellEnd"/>
              <w:r w:rsidRPr="00C3738D">
                <w:rPr>
                  <w:rStyle w:val="Hyperlink"/>
                  <w:lang w:val="es-DO"/>
                </w:rPr>
                <w:t>/videos/</w:t>
              </w:r>
              <w:proofErr w:type="spellStart"/>
              <w:r w:rsidRPr="00C3738D">
                <w:rPr>
                  <w:rStyle w:val="Hyperlink"/>
                  <w:lang w:val="es-DO"/>
                </w:rPr>
                <w:t>prophecy</w:t>
              </w:r>
              <w:proofErr w:type="spellEnd"/>
              <w:r w:rsidRPr="00C3738D">
                <w:rPr>
                  <w:rStyle w:val="Hyperlink"/>
                  <w:lang w:val="es-DO"/>
                </w:rPr>
                <w:t>-of-</w:t>
              </w:r>
              <w:proofErr w:type="spellStart"/>
              <w:r w:rsidRPr="00C3738D">
                <w:rPr>
                  <w:rStyle w:val="Hyperlink"/>
                  <w:lang w:val="es-DO"/>
                </w:rPr>
                <w:t>quexalcote</w:t>
              </w:r>
              <w:proofErr w:type="spellEnd"/>
            </w:hyperlink>
          </w:p>
          <w:p w:rsidR="00BA0349" w:rsidRDefault="00BA0349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BA0349" w:rsidRPr="00CE0D17" w:rsidRDefault="00BA0349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Pr="00CD0DB4" w:rsidRDefault="00005F54" w:rsidP="00CD0DB4">
            <w:pPr>
              <w:shd w:val="clear" w:color="auto" w:fill="FFFFFF"/>
              <w:jc w:val="center"/>
              <w:rPr>
                <w:rFonts w:ascii="Georgia" w:hAnsi="Georgia" w:cs="Georgia"/>
                <w:color w:val="000000"/>
                <w:sz w:val="21"/>
                <w:szCs w:val="21"/>
              </w:rPr>
            </w:pPr>
            <w:r>
              <w:rPr>
                <w:lang w:val="es-DO"/>
              </w:rPr>
              <w:t>“</w:t>
            </w:r>
          </w:p>
        </w:tc>
      </w:tr>
      <w:tr w:rsidR="00005F54" w:rsidRPr="00F973C7">
        <w:trPr>
          <w:trHeight w:val="269"/>
        </w:trPr>
        <w:tc>
          <w:tcPr>
            <w:tcW w:w="1667" w:type="pct"/>
            <w:vMerge w:val="restar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7F40BF">
              <w:rPr>
                <w:b/>
                <w:bCs/>
                <w:u w:val="single"/>
                <w:lang w:val="es-DO"/>
              </w:rPr>
              <w:t>Temas secundarios:</w:t>
            </w:r>
          </w:p>
          <w:p w:rsidR="00005F54" w:rsidRPr="006A2BAA" w:rsidRDefault="00176E75" w:rsidP="00203261">
            <w:pPr>
              <w:spacing w:after="0" w:line="240" w:lineRule="auto"/>
              <w:rPr>
                <w:bCs/>
                <w:lang w:val="es-DO"/>
              </w:rPr>
            </w:pPr>
            <w:r>
              <w:rPr>
                <w:bCs/>
                <w:lang w:val="es-DO"/>
              </w:rPr>
              <w:t>La construcción de la realidad, la espiritualidad y la religión, la literatura autoconsciente, el texto y su contexto, la asimilación y marginación, el imperialismo y el concepto del “otro”</w:t>
            </w: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750274" w:rsidRDefault="00750274" w:rsidP="00203261">
            <w:pPr>
              <w:spacing w:after="0" w:line="240" w:lineRule="auto"/>
              <w:rPr>
                <w:lang w:val="es-DO"/>
              </w:rPr>
            </w:pPr>
          </w:p>
          <w:p w:rsidR="00750274" w:rsidRPr="00203261" w:rsidRDefault="00750274" w:rsidP="00203261">
            <w:pPr>
              <w:spacing w:after="0" w:line="240" w:lineRule="auto"/>
              <w:rPr>
                <w:lang w:val="es-DO"/>
              </w:rPr>
            </w:pPr>
            <w:bookmarkStart w:id="0" w:name="_GoBack"/>
            <w:bookmarkEnd w:id="0"/>
          </w:p>
        </w:tc>
        <w:tc>
          <w:tcPr>
            <w:tcW w:w="1667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F973C7">
        <w:tc>
          <w:tcPr>
            <w:tcW w:w="1667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6" w:type="pc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7F40BF">
              <w:rPr>
                <w:b/>
                <w:bCs/>
                <w:u w:val="single"/>
                <w:lang w:val="es-DO"/>
              </w:rPr>
              <w:t>Otros recursos y conexiones:</w:t>
            </w:r>
          </w:p>
          <w:p w:rsidR="00750274" w:rsidRDefault="00750274" w:rsidP="00750274">
            <w:pPr>
              <w:spacing w:after="0" w:line="240" w:lineRule="auto"/>
              <w:rPr>
                <w:lang w:val="es-DO"/>
              </w:rPr>
            </w:pPr>
            <w:hyperlink r:id="rId7" w:history="1">
              <w:proofErr w:type="spellStart"/>
              <w:r w:rsidRPr="00C3738D">
                <w:rPr>
                  <w:rStyle w:val="Hyperlink"/>
                  <w:lang w:val="es-DO"/>
                </w:rPr>
                <w:t>www.wholesalechinaoilpainting.com</w:t>
              </w:r>
              <w:proofErr w:type="spellEnd"/>
            </w:hyperlink>
          </w:p>
          <w:p w:rsidR="00750274" w:rsidRPr="00750274" w:rsidRDefault="00750274" w:rsidP="00203261">
            <w:pPr>
              <w:spacing w:after="0" w:line="240" w:lineRule="auto"/>
              <w:rPr>
                <w:bCs/>
                <w:lang w:val="es-DO"/>
              </w:rPr>
            </w:pPr>
          </w:p>
          <w:p w:rsidR="004A6172" w:rsidRPr="00CE0D17" w:rsidRDefault="00750274" w:rsidP="00203261">
            <w:pPr>
              <w:spacing w:after="0" w:line="240" w:lineRule="auto"/>
              <w:rPr>
                <w:lang w:val="es-DO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A79BD9" wp14:editId="5A12905F">
                  <wp:extent cx="828135" cy="572528"/>
                  <wp:effectExtent l="0" t="0" r="0" b="0"/>
                  <wp:docPr id="1" name="il_fi" descr="http://3.bp.blogspot.com/_RrPtLLGT16E/RbngSl0t60I/AAAAAAAAADk/h_QCnll61U8/s320/cometaMoctezuma+15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RrPtLLGT16E/RbngSl0t60I/AAAAAAAAADk/h_QCnll61U8/s320/cometaMoctezuma+15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574" cy="57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011B92" wp14:editId="76000967">
                  <wp:extent cx="457200" cy="722380"/>
                  <wp:effectExtent l="0" t="0" r="0" b="1905"/>
                  <wp:docPr id="2" name="il_fi" descr="http://www.sbceo.k12.ca.us/~vms/carlton/Renaissance/Aztecs/Huitzilopochtl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bceo.k12.ca.us/~vms/carlton/Renaissance/Aztecs/Huitzilopochtl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46" cy="72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F54" w:rsidRPr="00CE0D17" w:rsidRDefault="00005F54">
      <w:pPr>
        <w:rPr>
          <w:lang w:val="es-DO"/>
        </w:rPr>
      </w:pPr>
    </w:p>
    <w:sectPr w:rsidR="00005F54" w:rsidRPr="00CE0D17" w:rsidSect="00F25F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44419"/>
    <w:multiLevelType w:val="hybridMultilevel"/>
    <w:tmpl w:val="5C92AE8C"/>
    <w:lvl w:ilvl="0" w:tplc="9CCE3BE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 w:tplc="C9E8883E">
      <w:start w:val="1210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 w:tplc="1A9A08F6">
      <w:start w:val="1210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3" w:tplc="3A08CA2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4" w:tplc="4514643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5" w:tplc="66C40DB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cs="Wingdings 2" w:hint="default"/>
      </w:rPr>
    </w:lvl>
    <w:lvl w:ilvl="6" w:tplc="E50828B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cs="Wingdings 2" w:hint="default"/>
      </w:rPr>
    </w:lvl>
    <w:lvl w:ilvl="7" w:tplc="F55EB94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cs="Wingdings 2" w:hint="default"/>
      </w:rPr>
    </w:lvl>
    <w:lvl w:ilvl="8" w:tplc="7FD804B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cs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0E"/>
    <w:rsid w:val="00005F54"/>
    <w:rsid w:val="00176E75"/>
    <w:rsid w:val="001D3D52"/>
    <w:rsid w:val="00203261"/>
    <w:rsid w:val="00253668"/>
    <w:rsid w:val="00365731"/>
    <w:rsid w:val="00381F1F"/>
    <w:rsid w:val="003E2066"/>
    <w:rsid w:val="00482DE5"/>
    <w:rsid w:val="004A6172"/>
    <w:rsid w:val="005737F1"/>
    <w:rsid w:val="00585C79"/>
    <w:rsid w:val="005C2711"/>
    <w:rsid w:val="005D4448"/>
    <w:rsid w:val="006A2BAA"/>
    <w:rsid w:val="00750274"/>
    <w:rsid w:val="007B4EDB"/>
    <w:rsid w:val="007D7A33"/>
    <w:rsid w:val="007E0AC9"/>
    <w:rsid w:val="007F40BF"/>
    <w:rsid w:val="008E0060"/>
    <w:rsid w:val="00914427"/>
    <w:rsid w:val="00A21143"/>
    <w:rsid w:val="00A6171A"/>
    <w:rsid w:val="00AA0F7B"/>
    <w:rsid w:val="00AF77FD"/>
    <w:rsid w:val="00B13D20"/>
    <w:rsid w:val="00BA0349"/>
    <w:rsid w:val="00BA6E25"/>
    <w:rsid w:val="00BB3A0B"/>
    <w:rsid w:val="00BF7D87"/>
    <w:rsid w:val="00CD0DB4"/>
    <w:rsid w:val="00CE0D17"/>
    <w:rsid w:val="00D50CAD"/>
    <w:rsid w:val="00DF5E04"/>
    <w:rsid w:val="00E008B2"/>
    <w:rsid w:val="00EA1ADC"/>
    <w:rsid w:val="00ED07EA"/>
    <w:rsid w:val="00ED7DB7"/>
    <w:rsid w:val="00F25F0E"/>
    <w:rsid w:val="00F973C7"/>
    <w:rsid w:val="00FE27E0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D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5F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E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E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E0D1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4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D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5F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E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E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E0D1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4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344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342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3438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single" w:sz="2" w:space="0" w:color="F1F1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34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single" w:sz="2" w:space="0" w:color="F1F1F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342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2" w:space="0" w:color="F1F1F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single" w:sz="2" w:space="0" w:color="F1F1F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single" w:sz="2" w:space="0" w:color="F1F1F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9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single" w:sz="2" w:space="0" w:color="F1F1F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single" w:sz="2" w:space="0" w:color="F1F1F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single" w:sz="2" w:space="0" w:color="F1F1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single" w:sz="2" w:space="0" w:color="F1F1F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single" w:sz="2" w:space="0" w:color="F1F1F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93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single" w:sz="2" w:space="0" w:color="F1F1F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single" w:sz="2" w:space="0" w:color="F1F1F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9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"/>
                                                                                      <w:divBdr>
                                                                                        <w:top w:val="single" w:sz="2" w:space="0" w:color="F1F1F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93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single" w:sz="2" w:space="0" w:color="F1F1F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93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wholesalechinaoilpain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tory.com/videos/prophecy-of-quexalcot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Autor/Origen: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Autor/Origen:</dc:title>
  <dc:creator>Cameron Stephen</dc:creator>
  <cp:lastModifiedBy>Generic GHS Student</cp:lastModifiedBy>
  <cp:revision>12</cp:revision>
  <cp:lastPrinted>2012-05-11T03:25:00Z</cp:lastPrinted>
  <dcterms:created xsi:type="dcterms:W3CDTF">2012-07-25T16:31:00Z</dcterms:created>
  <dcterms:modified xsi:type="dcterms:W3CDTF">2012-07-26T16:20:00Z</dcterms:modified>
</cp:coreProperties>
</file>