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13" w:rsidRDefault="00D44013" w:rsidP="00D44013">
      <w:pPr>
        <w:jc w:val="center"/>
        <w:rPr>
          <w:b/>
          <w:sz w:val="28"/>
          <w:szCs w:val="28"/>
        </w:rPr>
      </w:pPr>
      <w:bookmarkStart w:id="0" w:name="_GoBack"/>
      <w:bookmarkEnd w:id="0"/>
      <w:r>
        <w:rPr>
          <w:b/>
          <w:sz w:val="28"/>
          <w:szCs w:val="28"/>
        </w:rPr>
        <w:t>School/</w:t>
      </w:r>
      <w:r w:rsidRPr="00E0137D">
        <w:rPr>
          <w:b/>
          <w:sz w:val="28"/>
          <w:szCs w:val="28"/>
        </w:rPr>
        <w:t>Program</w:t>
      </w:r>
      <w:r>
        <w:rPr>
          <w:b/>
          <w:sz w:val="28"/>
          <w:szCs w:val="28"/>
        </w:rPr>
        <w:t xml:space="preserve"> </w:t>
      </w:r>
      <w:r w:rsidRPr="00E0137D">
        <w:rPr>
          <w:b/>
          <w:sz w:val="28"/>
          <w:szCs w:val="28"/>
        </w:rPr>
        <w:t>of Choice Annual Evaluation Report</w:t>
      </w:r>
    </w:p>
    <w:p w:rsidR="00D44013" w:rsidRDefault="00D44013" w:rsidP="00D44013">
      <w:pPr>
        <w:jc w:val="center"/>
        <w:rPr>
          <w:b/>
          <w:sz w:val="28"/>
          <w:szCs w:val="28"/>
        </w:rPr>
      </w:pPr>
    </w:p>
    <w:p w:rsidR="00D44013" w:rsidRDefault="00D44013" w:rsidP="00D44013">
      <w:pPr>
        <w:jc w:val="center"/>
        <w:rPr>
          <w:b/>
          <w:sz w:val="28"/>
          <w:szCs w:val="28"/>
        </w:rPr>
      </w:pPr>
    </w:p>
    <w:tbl>
      <w:tblPr>
        <w:tblW w:w="0" w:type="auto"/>
        <w:tblLook w:val="01E0" w:firstRow="1" w:lastRow="1" w:firstColumn="1" w:lastColumn="1" w:noHBand="0" w:noVBand="0"/>
      </w:tblPr>
      <w:tblGrid>
        <w:gridCol w:w="3258"/>
        <w:gridCol w:w="3960"/>
        <w:gridCol w:w="1710"/>
        <w:gridCol w:w="1368"/>
      </w:tblGrid>
      <w:tr w:rsidR="00D44013" w:rsidRPr="00385292">
        <w:tc>
          <w:tcPr>
            <w:tcW w:w="3258" w:type="dxa"/>
          </w:tcPr>
          <w:p w:rsidR="00D44013" w:rsidRPr="00F824B6" w:rsidRDefault="00D44013" w:rsidP="00D44013">
            <w:pPr>
              <w:rPr>
                <w:b/>
              </w:rPr>
            </w:pPr>
          </w:p>
          <w:p w:rsidR="00D44013" w:rsidRPr="00385292" w:rsidRDefault="00D44013" w:rsidP="00D44013">
            <w:pPr>
              <w:rPr>
                <w:b/>
              </w:rPr>
            </w:pPr>
            <w:r w:rsidRPr="00385292">
              <w:rPr>
                <w:b/>
              </w:rPr>
              <w:t>School/Program of Choice</w:t>
            </w:r>
          </w:p>
        </w:tc>
        <w:tc>
          <w:tcPr>
            <w:tcW w:w="3960" w:type="dxa"/>
            <w:tcBorders>
              <w:bottom w:val="single" w:sz="4" w:space="0" w:color="auto"/>
            </w:tcBorders>
          </w:tcPr>
          <w:p w:rsidR="00D44013" w:rsidRPr="00385292" w:rsidRDefault="00D44013">
            <w:pPr>
              <w:rPr>
                <w:b/>
              </w:rPr>
            </w:pPr>
          </w:p>
          <w:p w:rsidR="00D44013" w:rsidRPr="00385292" w:rsidRDefault="00753480" w:rsidP="00753480">
            <w:pPr>
              <w:rPr>
                <w:b/>
              </w:rPr>
            </w:pPr>
            <w:r>
              <w:rPr>
                <w:b/>
              </w:rPr>
              <w:t>Adams Montessori Program</w:t>
            </w:r>
          </w:p>
        </w:tc>
        <w:tc>
          <w:tcPr>
            <w:tcW w:w="1710" w:type="dxa"/>
          </w:tcPr>
          <w:p w:rsidR="00D44013" w:rsidRPr="00385292" w:rsidRDefault="00D44013" w:rsidP="00D44013">
            <w:pPr>
              <w:rPr>
                <w:b/>
              </w:rPr>
            </w:pPr>
          </w:p>
          <w:p w:rsidR="00D44013" w:rsidRPr="00385292" w:rsidRDefault="00D44013" w:rsidP="00D44013">
            <w:pPr>
              <w:rPr>
                <w:b/>
              </w:rPr>
            </w:pPr>
            <w:r w:rsidRPr="00385292">
              <w:rPr>
                <w:b/>
              </w:rPr>
              <w:t>School Year:</w:t>
            </w:r>
          </w:p>
        </w:tc>
        <w:tc>
          <w:tcPr>
            <w:tcW w:w="1368" w:type="dxa"/>
            <w:tcBorders>
              <w:bottom w:val="single" w:sz="4" w:space="0" w:color="auto"/>
            </w:tcBorders>
          </w:tcPr>
          <w:p w:rsidR="00D44013" w:rsidRPr="00385292" w:rsidRDefault="00D44013">
            <w:pPr>
              <w:rPr>
                <w:b/>
              </w:rPr>
            </w:pPr>
          </w:p>
          <w:p w:rsidR="00D44013" w:rsidRPr="00385292" w:rsidRDefault="00753480" w:rsidP="00D44013">
            <w:pPr>
              <w:rPr>
                <w:b/>
              </w:rPr>
            </w:pPr>
            <w:r>
              <w:rPr>
                <w:b/>
              </w:rPr>
              <w:t>2014-2015</w:t>
            </w:r>
          </w:p>
        </w:tc>
      </w:tr>
    </w:tbl>
    <w:p w:rsidR="00D44013" w:rsidRPr="00385292" w:rsidRDefault="00D44013" w:rsidP="00D44013"/>
    <w:p w:rsidR="00D44013" w:rsidRPr="00385292" w:rsidRDefault="00D44013" w:rsidP="00D440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44013" w:rsidRPr="00385292">
        <w:trPr>
          <w:trHeight w:val="403"/>
        </w:trPr>
        <w:tc>
          <w:tcPr>
            <w:tcW w:w="10296" w:type="dxa"/>
            <w:vAlign w:val="center"/>
          </w:tcPr>
          <w:p w:rsidR="00D44013" w:rsidRPr="00385292" w:rsidRDefault="00D44013" w:rsidP="00D44013">
            <w:r w:rsidRPr="00385292">
              <w:rPr>
                <w:b/>
              </w:rPr>
              <w:t>Student Demographics:</w:t>
            </w:r>
          </w:p>
        </w:tc>
      </w:tr>
      <w:tr w:rsidR="00D44013" w:rsidRPr="00385292">
        <w:trPr>
          <w:trHeight w:val="2088"/>
        </w:trPr>
        <w:tc>
          <w:tcPr>
            <w:tcW w:w="10296" w:type="dxa"/>
          </w:tcPr>
          <w:p w:rsidR="00D44013" w:rsidRPr="00385292" w:rsidRDefault="00D44013" w:rsidP="00D44013">
            <w:pPr>
              <w:spacing w:before="100" w:beforeAutospacing="1" w:after="100" w:afterAutospacing="1"/>
              <w:rPr>
                <w:rFonts w:eastAsia="Times New Roman"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16"/>
              <w:gridCol w:w="2516"/>
              <w:gridCol w:w="2517"/>
            </w:tblGrid>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p>
              </w:tc>
              <w:tc>
                <w:tcPr>
                  <w:tcW w:w="2516" w:type="dxa"/>
                </w:tcPr>
                <w:p w:rsidR="00D44013" w:rsidRPr="00BA7218" w:rsidRDefault="00CF7158" w:rsidP="00D44013">
                  <w:pPr>
                    <w:spacing w:before="100" w:beforeAutospacing="1" w:after="100" w:afterAutospacing="1"/>
                    <w:rPr>
                      <w:rFonts w:eastAsia="Times New Roman" w:cs="Arial"/>
                      <w:b/>
                      <w:bCs/>
                      <w:szCs w:val="22"/>
                    </w:rPr>
                  </w:pPr>
                  <w:r>
                    <w:rPr>
                      <w:rFonts w:eastAsia="Times New Roman" w:cs="Arial"/>
                      <w:b/>
                      <w:bCs/>
                      <w:szCs w:val="22"/>
                    </w:rPr>
                    <w:t>2012-2013</w:t>
                  </w:r>
                  <w:r w:rsidR="00D44013" w:rsidRPr="00BA7218">
                    <w:rPr>
                      <w:rFonts w:eastAsia="Times New Roman" w:cs="Arial"/>
                      <w:b/>
                      <w:bCs/>
                      <w:szCs w:val="22"/>
                    </w:rPr>
                    <w:t xml:space="preserve"> </w:t>
                  </w:r>
                  <w:r>
                    <w:rPr>
                      <w:rFonts w:eastAsia="Times New Roman" w:cs="Arial"/>
                      <w:b/>
                      <w:bCs/>
                      <w:szCs w:val="22"/>
                    </w:rPr>
                    <w:t>(1</w:t>
                  </w:r>
                  <w:r w:rsidRPr="00CF7158">
                    <w:rPr>
                      <w:rFonts w:eastAsia="Times New Roman" w:cs="Arial"/>
                      <w:b/>
                      <w:bCs/>
                      <w:szCs w:val="22"/>
                      <w:vertAlign w:val="superscript"/>
                    </w:rPr>
                    <w:t>st</w:t>
                  </w:r>
                  <w:r w:rsidR="002332C8">
                    <w:rPr>
                      <w:rFonts w:eastAsia="Times New Roman" w:cs="Arial"/>
                      <w:b/>
                      <w:bCs/>
                      <w:szCs w:val="22"/>
                    </w:rPr>
                    <w:t>-4</w:t>
                  </w:r>
                  <w:r w:rsidR="002332C8" w:rsidRPr="002332C8">
                    <w:rPr>
                      <w:rFonts w:eastAsia="Times New Roman" w:cs="Arial"/>
                      <w:b/>
                      <w:bCs/>
                      <w:szCs w:val="22"/>
                      <w:vertAlign w:val="superscript"/>
                    </w:rPr>
                    <w:t>th</w:t>
                  </w:r>
                  <w:r>
                    <w:rPr>
                      <w:rFonts w:eastAsia="Times New Roman" w:cs="Arial"/>
                      <w:b/>
                      <w:bCs/>
                      <w:szCs w:val="22"/>
                    </w:rPr>
                    <w:t>)</w:t>
                  </w:r>
                </w:p>
              </w:tc>
              <w:tc>
                <w:tcPr>
                  <w:tcW w:w="2516" w:type="dxa"/>
                </w:tcPr>
                <w:p w:rsidR="00D44013" w:rsidRPr="00BA7218" w:rsidRDefault="00B15354" w:rsidP="00D44013">
                  <w:pPr>
                    <w:spacing w:before="100" w:beforeAutospacing="1" w:after="100" w:afterAutospacing="1"/>
                    <w:rPr>
                      <w:rFonts w:eastAsia="Times New Roman" w:cs="Arial"/>
                      <w:b/>
                      <w:bCs/>
                      <w:szCs w:val="22"/>
                    </w:rPr>
                  </w:pPr>
                  <w:r>
                    <w:rPr>
                      <w:rFonts w:eastAsia="Times New Roman" w:cs="Arial"/>
                      <w:b/>
                      <w:bCs/>
                      <w:szCs w:val="22"/>
                    </w:rPr>
                    <w:t>2013-2014</w:t>
                  </w:r>
                  <w:r w:rsidR="00CF7158">
                    <w:rPr>
                      <w:rFonts w:eastAsia="Times New Roman" w:cs="Arial"/>
                      <w:b/>
                      <w:bCs/>
                      <w:szCs w:val="22"/>
                    </w:rPr>
                    <w:t xml:space="preserve"> (1</w:t>
                  </w:r>
                  <w:r w:rsidR="00CF7158" w:rsidRPr="00CF7158">
                    <w:rPr>
                      <w:rFonts w:eastAsia="Times New Roman" w:cs="Arial"/>
                      <w:b/>
                      <w:bCs/>
                      <w:szCs w:val="22"/>
                      <w:vertAlign w:val="superscript"/>
                    </w:rPr>
                    <w:t>st</w:t>
                  </w:r>
                  <w:r w:rsidR="00CF7158">
                    <w:rPr>
                      <w:rFonts w:eastAsia="Times New Roman" w:cs="Arial"/>
                      <w:b/>
                      <w:bCs/>
                      <w:szCs w:val="22"/>
                    </w:rPr>
                    <w:t>-5</w:t>
                  </w:r>
                  <w:r w:rsidR="00CF7158" w:rsidRPr="00CF7158">
                    <w:rPr>
                      <w:rFonts w:eastAsia="Times New Roman" w:cs="Arial"/>
                      <w:b/>
                      <w:bCs/>
                      <w:szCs w:val="22"/>
                      <w:vertAlign w:val="superscript"/>
                    </w:rPr>
                    <w:t>th</w:t>
                  </w:r>
                  <w:r w:rsidR="00CF7158">
                    <w:rPr>
                      <w:rFonts w:eastAsia="Times New Roman" w:cs="Arial"/>
                      <w:b/>
                      <w:bCs/>
                      <w:szCs w:val="22"/>
                    </w:rPr>
                    <w:t>)</w:t>
                  </w:r>
                </w:p>
              </w:tc>
              <w:tc>
                <w:tcPr>
                  <w:tcW w:w="2517" w:type="dxa"/>
                </w:tcPr>
                <w:p w:rsidR="00D44013" w:rsidRPr="00BA7218" w:rsidRDefault="00AE3CB1" w:rsidP="00D44013">
                  <w:pPr>
                    <w:spacing w:before="100" w:beforeAutospacing="1" w:after="100" w:afterAutospacing="1"/>
                    <w:rPr>
                      <w:rFonts w:eastAsia="Times New Roman" w:cs="Arial"/>
                      <w:b/>
                      <w:bCs/>
                      <w:szCs w:val="22"/>
                    </w:rPr>
                  </w:pPr>
                  <w:r>
                    <w:rPr>
                      <w:rFonts w:eastAsia="Times New Roman" w:cs="Arial"/>
                      <w:b/>
                      <w:bCs/>
                      <w:szCs w:val="22"/>
                    </w:rPr>
                    <w:t>2014-2015</w:t>
                  </w:r>
                  <w:r w:rsidR="00CF7158">
                    <w:rPr>
                      <w:rFonts w:eastAsia="Times New Roman" w:cs="Arial"/>
                      <w:b/>
                      <w:bCs/>
                      <w:szCs w:val="22"/>
                    </w:rPr>
                    <w:t xml:space="preserve"> (1</w:t>
                  </w:r>
                  <w:r w:rsidR="00CF7158" w:rsidRPr="00CF7158">
                    <w:rPr>
                      <w:rFonts w:eastAsia="Times New Roman" w:cs="Arial"/>
                      <w:b/>
                      <w:bCs/>
                      <w:szCs w:val="22"/>
                      <w:vertAlign w:val="superscript"/>
                    </w:rPr>
                    <w:t>st</w:t>
                  </w:r>
                  <w:r w:rsidR="00CF7158">
                    <w:rPr>
                      <w:rFonts w:eastAsia="Times New Roman" w:cs="Arial"/>
                      <w:b/>
                      <w:bCs/>
                      <w:szCs w:val="22"/>
                    </w:rPr>
                    <w:t>-6</w:t>
                  </w:r>
                  <w:r w:rsidR="00CF7158" w:rsidRPr="00CF7158">
                    <w:rPr>
                      <w:rFonts w:eastAsia="Times New Roman" w:cs="Arial"/>
                      <w:b/>
                      <w:bCs/>
                      <w:szCs w:val="22"/>
                      <w:vertAlign w:val="superscript"/>
                    </w:rPr>
                    <w:t>th</w:t>
                  </w:r>
                  <w:r w:rsidR="00CF7158">
                    <w:rPr>
                      <w:rFonts w:eastAsia="Times New Roman" w:cs="Arial"/>
                      <w:b/>
                      <w:bCs/>
                      <w:szCs w:val="22"/>
                    </w:rPr>
                    <w:t>)</w:t>
                  </w:r>
                </w:p>
              </w:tc>
            </w:tr>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r w:rsidRPr="00BA7218">
                    <w:rPr>
                      <w:rFonts w:eastAsia="Times New Roman" w:cs="Arial"/>
                      <w:bCs/>
                      <w:szCs w:val="22"/>
                    </w:rPr>
                    <w:t># of students enrolled</w:t>
                  </w:r>
                </w:p>
              </w:tc>
              <w:tc>
                <w:tcPr>
                  <w:tcW w:w="2516"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28</w:t>
                  </w:r>
                  <w:r w:rsidR="00D44013" w:rsidRPr="00BA7218">
                    <w:rPr>
                      <w:rFonts w:eastAsia="Times New Roman" w:cs="Arial"/>
                      <w:bCs/>
                      <w:szCs w:val="22"/>
                    </w:rPr>
                    <w:t xml:space="preserve"> students</w:t>
                  </w:r>
                </w:p>
              </w:tc>
              <w:tc>
                <w:tcPr>
                  <w:tcW w:w="2516" w:type="dxa"/>
                </w:tcPr>
                <w:p w:rsidR="00D44013" w:rsidRPr="00BA7218" w:rsidRDefault="00B15354" w:rsidP="00D44013">
                  <w:pPr>
                    <w:spacing w:before="100" w:beforeAutospacing="1" w:after="100" w:afterAutospacing="1"/>
                    <w:rPr>
                      <w:rFonts w:eastAsia="Times New Roman" w:cs="Arial"/>
                      <w:bCs/>
                      <w:szCs w:val="22"/>
                    </w:rPr>
                  </w:pPr>
                  <w:r>
                    <w:rPr>
                      <w:rFonts w:eastAsia="Times New Roman" w:cs="Arial"/>
                      <w:bCs/>
                      <w:szCs w:val="22"/>
                    </w:rPr>
                    <w:t>43</w:t>
                  </w:r>
                  <w:r w:rsidR="00D44013" w:rsidRPr="00BA7218">
                    <w:rPr>
                      <w:rFonts w:eastAsia="Times New Roman" w:cs="Arial"/>
                      <w:bCs/>
                      <w:szCs w:val="22"/>
                    </w:rPr>
                    <w:t xml:space="preserve"> students</w:t>
                  </w:r>
                </w:p>
              </w:tc>
              <w:tc>
                <w:tcPr>
                  <w:tcW w:w="2517" w:type="dxa"/>
                </w:tcPr>
                <w:p w:rsidR="00D44013" w:rsidRPr="00BA7218" w:rsidRDefault="00AE3CB1" w:rsidP="00D44013">
                  <w:pPr>
                    <w:spacing w:before="100" w:beforeAutospacing="1" w:after="100" w:afterAutospacing="1"/>
                    <w:rPr>
                      <w:rFonts w:eastAsia="Times New Roman" w:cs="Arial"/>
                      <w:bCs/>
                      <w:szCs w:val="22"/>
                    </w:rPr>
                  </w:pPr>
                  <w:r>
                    <w:rPr>
                      <w:rFonts w:eastAsia="Times New Roman" w:cs="Arial"/>
                      <w:bCs/>
                      <w:szCs w:val="22"/>
                    </w:rPr>
                    <w:t>51</w:t>
                  </w:r>
                  <w:r w:rsidR="00D44013" w:rsidRPr="00BA7218">
                    <w:rPr>
                      <w:rFonts w:eastAsia="Times New Roman" w:cs="Arial"/>
                      <w:bCs/>
                      <w:szCs w:val="22"/>
                    </w:rPr>
                    <w:t xml:space="preserve"> students</w:t>
                  </w:r>
                </w:p>
              </w:tc>
            </w:tr>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r w:rsidRPr="00BA7218">
                    <w:rPr>
                      <w:rFonts w:eastAsia="Times New Roman" w:cs="Arial"/>
                      <w:bCs/>
                      <w:szCs w:val="22"/>
                    </w:rPr>
                    <w:t>% of males enrolled</w:t>
                  </w:r>
                </w:p>
              </w:tc>
              <w:tc>
                <w:tcPr>
                  <w:tcW w:w="2516" w:type="dxa"/>
                </w:tcPr>
                <w:p w:rsidR="00D44013" w:rsidRPr="00BA7218" w:rsidRDefault="002332C8" w:rsidP="00D44013">
                  <w:pPr>
                    <w:spacing w:before="100" w:beforeAutospacing="1" w:after="100" w:afterAutospacing="1"/>
                    <w:rPr>
                      <w:rFonts w:eastAsia="Times New Roman" w:cs="Arial"/>
                      <w:bCs/>
                      <w:szCs w:val="22"/>
                    </w:rPr>
                  </w:pPr>
                  <w:r>
                    <w:rPr>
                      <w:rFonts w:eastAsia="Times New Roman" w:cs="Arial"/>
                      <w:bCs/>
                      <w:szCs w:val="22"/>
                    </w:rPr>
                    <w:t>40</w:t>
                  </w:r>
                  <w:r w:rsidR="00D44013" w:rsidRPr="00BA7218">
                    <w:rPr>
                      <w:rFonts w:eastAsia="Times New Roman" w:cs="Arial"/>
                      <w:bCs/>
                      <w:szCs w:val="22"/>
                    </w:rPr>
                    <w:t>%</w:t>
                  </w:r>
                </w:p>
              </w:tc>
              <w:tc>
                <w:tcPr>
                  <w:tcW w:w="2516"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42</w:t>
                  </w:r>
                  <w:r w:rsidR="00D44013" w:rsidRPr="00BA7218">
                    <w:rPr>
                      <w:rFonts w:eastAsia="Times New Roman" w:cs="Arial"/>
                      <w:bCs/>
                      <w:szCs w:val="22"/>
                    </w:rPr>
                    <w:t>%</w:t>
                  </w:r>
                </w:p>
              </w:tc>
              <w:tc>
                <w:tcPr>
                  <w:tcW w:w="2517" w:type="dxa"/>
                </w:tcPr>
                <w:p w:rsidR="00D44013" w:rsidRPr="00BA7218" w:rsidRDefault="00AE3CB1" w:rsidP="00D44013">
                  <w:pPr>
                    <w:spacing w:before="100" w:beforeAutospacing="1" w:after="100" w:afterAutospacing="1"/>
                    <w:rPr>
                      <w:rFonts w:eastAsia="Times New Roman" w:cs="Arial"/>
                      <w:bCs/>
                      <w:szCs w:val="22"/>
                    </w:rPr>
                  </w:pPr>
                  <w:r>
                    <w:rPr>
                      <w:rFonts w:eastAsia="Times New Roman" w:cs="Arial"/>
                      <w:bCs/>
                      <w:szCs w:val="22"/>
                    </w:rPr>
                    <w:t>39</w:t>
                  </w:r>
                  <w:r w:rsidR="00D44013" w:rsidRPr="00BA7218">
                    <w:rPr>
                      <w:rFonts w:eastAsia="Times New Roman" w:cs="Arial"/>
                      <w:bCs/>
                      <w:szCs w:val="22"/>
                    </w:rPr>
                    <w:t>%</w:t>
                  </w:r>
                </w:p>
              </w:tc>
            </w:tr>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r w:rsidRPr="00BA7218">
                    <w:rPr>
                      <w:rFonts w:eastAsia="Times New Roman" w:cs="Arial"/>
                      <w:bCs/>
                      <w:szCs w:val="22"/>
                    </w:rPr>
                    <w:t>% of females enrolled</w:t>
                  </w:r>
                </w:p>
              </w:tc>
              <w:tc>
                <w:tcPr>
                  <w:tcW w:w="2516" w:type="dxa"/>
                </w:tcPr>
                <w:p w:rsidR="00D44013" w:rsidRPr="00BA7218" w:rsidRDefault="002332C8" w:rsidP="00D44013">
                  <w:pPr>
                    <w:spacing w:before="100" w:beforeAutospacing="1" w:after="100" w:afterAutospacing="1"/>
                    <w:rPr>
                      <w:rFonts w:eastAsia="Times New Roman" w:cs="Arial"/>
                      <w:bCs/>
                      <w:szCs w:val="22"/>
                    </w:rPr>
                  </w:pPr>
                  <w:r>
                    <w:rPr>
                      <w:rFonts w:eastAsia="Times New Roman" w:cs="Arial"/>
                      <w:bCs/>
                      <w:szCs w:val="22"/>
                    </w:rPr>
                    <w:t>60</w:t>
                  </w:r>
                  <w:r w:rsidR="00D44013" w:rsidRPr="00BA7218">
                    <w:rPr>
                      <w:rFonts w:eastAsia="Times New Roman" w:cs="Arial"/>
                      <w:bCs/>
                      <w:szCs w:val="22"/>
                    </w:rPr>
                    <w:t>%</w:t>
                  </w:r>
                </w:p>
              </w:tc>
              <w:tc>
                <w:tcPr>
                  <w:tcW w:w="2516"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58</w:t>
                  </w:r>
                  <w:r w:rsidR="00D44013" w:rsidRPr="00BA7218">
                    <w:rPr>
                      <w:rFonts w:eastAsia="Times New Roman" w:cs="Arial"/>
                      <w:bCs/>
                      <w:szCs w:val="22"/>
                    </w:rPr>
                    <w:t>%</w:t>
                  </w:r>
                </w:p>
              </w:tc>
              <w:tc>
                <w:tcPr>
                  <w:tcW w:w="2517" w:type="dxa"/>
                </w:tcPr>
                <w:p w:rsidR="00D44013" w:rsidRPr="00BA7218" w:rsidRDefault="00AE3CB1" w:rsidP="00D44013">
                  <w:pPr>
                    <w:spacing w:before="100" w:beforeAutospacing="1" w:after="100" w:afterAutospacing="1"/>
                    <w:rPr>
                      <w:rFonts w:eastAsia="Times New Roman" w:cs="Arial"/>
                      <w:bCs/>
                      <w:szCs w:val="22"/>
                    </w:rPr>
                  </w:pPr>
                  <w:r>
                    <w:rPr>
                      <w:rFonts w:eastAsia="Times New Roman" w:cs="Arial"/>
                      <w:bCs/>
                      <w:szCs w:val="22"/>
                    </w:rPr>
                    <w:t>51</w:t>
                  </w:r>
                  <w:r w:rsidR="00D44013" w:rsidRPr="00BA7218">
                    <w:rPr>
                      <w:rFonts w:eastAsia="Times New Roman" w:cs="Arial"/>
                      <w:bCs/>
                      <w:szCs w:val="22"/>
                    </w:rPr>
                    <w:t>%</w:t>
                  </w:r>
                </w:p>
              </w:tc>
            </w:tr>
            <w:tr w:rsidR="00D44013" w:rsidRPr="00BA7218">
              <w:tc>
                <w:tcPr>
                  <w:tcW w:w="2516" w:type="dxa"/>
                </w:tcPr>
                <w:p w:rsidR="00D44013" w:rsidRPr="00BA7218" w:rsidRDefault="00D44013" w:rsidP="00AE3CB1">
                  <w:pPr>
                    <w:spacing w:before="100" w:beforeAutospacing="1" w:after="100" w:afterAutospacing="1"/>
                    <w:rPr>
                      <w:rFonts w:eastAsia="Times New Roman" w:cs="Arial"/>
                      <w:bCs/>
                      <w:szCs w:val="22"/>
                    </w:rPr>
                  </w:pPr>
                  <w:r w:rsidRPr="00BA7218">
                    <w:rPr>
                      <w:rFonts w:eastAsia="Times New Roman" w:cs="Arial"/>
                      <w:bCs/>
                      <w:szCs w:val="22"/>
                    </w:rPr>
                    <w:t xml:space="preserve">% </w:t>
                  </w:r>
                  <w:r w:rsidR="00B15354">
                    <w:rPr>
                      <w:rFonts w:eastAsia="Times New Roman" w:cs="Arial"/>
                      <w:bCs/>
                      <w:szCs w:val="22"/>
                    </w:rPr>
                    <w:t>Laoti</w:t>
                  </w:r>
                  <w:r w:rsidR="00AE3CB1">
                    <w:rPr>
                      <w:rFonts w:eastAsia="Times New Roman" w:cs="Arial"/>
                      <w:bCs/>
                      <w:szCs w:val="22"/>
                    </w:rPr>
                    <w:t>an</w:t>
                  </w:r>
                </w:p>
              </w:tc>
              <w:tc>
                <w:tcPr>
                  <w:tcW w:w="2516" w:type="dxa"/>
                </w:tcPr>
                <w:p w:rsidR="00D4401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0</w:t>
                  </w:r>
                  <w:r w:rsidR="00D44013" w:rsidRPr="00BA7218">
                    <w:rPr>
                      <w:rFonts w:eastAsia="Times New Roman" w:cs="Arial"/>
                      <w:bCs/>
                      <w:szCs w:val="22"/>
                    </w:rPr>
                    <w:t>%</w:t>
                  </w:r>
                </w:p>
              </w:tc>
              <w:tc>
                <w:tcPr>
                  <w:tcW w:w="2516"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0</w:t>
                  </w:r>
                  <w:r w:rsidR="00D44013" w:rsidRPr="00BA7218">
                    <w:rPr>
                      <w:rFonts w:eastAsia="Times New Roman" w:cs="Arial"/>
                      <w:bCs/>
                      <w:szCs w:val="22"/>
                    </w:rPr>
                    <w:t>%</w:t>
                  </w:r>
                </w:p>
              </w:tc>
              <w:tc>
                <w:tcPr>
                  <w:tcW w:w="2517"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1.96</w:t>
                  </w:r>
                  <w:r w:rsidR="00D44013" w:rsidRPr="00BA7218">
                    <w:rPr>
                      <w:rFonts w:eastAsia="Times New Roman" w:cs="Arial"/>
                      <w:bCs/>
                      <w:szCs w:val="22"/>
                    </w:rPr>
                    <w:t>%</w:t>
                  </w:r>
                </w:p>
              </w:tc>
            </w:tr>
            <w:tr w:rsidR="00D44013" w:rsidRPr="00BA7218">
              <w:tc>
                <w:tcPr>
                  <w:tcW w:w="2516" w:type="dxa"/>
                </w:tcPr>
                <w:p w:rsidR="00D44013" w:rsidRPr="00BA7218" w:rsidRDefault="00AE3CB1" w:rsidP="00D44013">
                  <w:pPr>
                    <w:spacing w:before="100" w:beforeAutospacing="1" w:after="100" w:afterAutospacing="1"/>
                    <w:rPr>
                      <w:rFonts w:eastAsia="Times New Roman" w:cs="Arial"/>
                      <w:bCs/>
                      <w:szCs w:val="22"/>
                    </w:rPr>
                  </w:pPr>
                  <w:r>
                    <w:rPr>
                      <w:rFonts w:eastAsia="Times New Roman" w:cs="Arial"/>
                      <w:bCs/>
                      <w:szCs w:val="22"/>
                    </w:rPr>
                    <w:t>% Korean</w:t>
                  </w:r>
                </w:p>
              </w:tc>
              <w:tc>
                <w:tcPr>
                  <w:tcW w:w="2516" w:type="dxa"/>
                </w:tcPr>
                <w:p w:rsidR="00D4401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0</w:t>
                  </w:r>
                  <w:r w:rsidR="00D44013" w:rsidRPr="00BA7218">
                    <w:rPr>
                      <w:rFonts w:eastAsia="Times New Roman" w:cs="Arial"/>
                      <w:bCs/>
                      <w:szCs w:val="22"/>
                    </w:rPr>
                    <w:t>%</w:t>
                  </w:r>
                </w:p>
              </w:tc>
              <w:tc>
                <w:tcPr>
                  <w:tcW w:w="2516"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4.65</w:t>
                  </w:r>
                  <w:r w:rsidR="00D44013" w:rsidRPr="00BA7218">
                    <w:rPr>
                      <w:rFonts w:eastAsia="Times New Roman" w:cs="Arial"/>
                      <w:bCs/>
                      <w:szCs w:val="22"/>
                    </w:rPr>
                    <w:t>%</w:t>
                  </w:r>
                </w:p>
              </w:tc>
              <w:tc>
                <w:tcPr>
                  <w:tcW w:w="2517"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3.92</w:t>
                  </w:r>
                  <w:r w:rsidR="00D44013" w:rsidRPr="00BA7218">
                    <w:rPr>
                      <w:rFonts w:eastAsia="Times New Roman" w:cs="Arial"/>
                      <w:bCs/>
                      <w:szCs w:val="22"/>
                    </w:rPr>
                    <w:t>%</w:t>
                  </w:r>
                </w:p>
              </w:tc>
            </w:tr>
            <w:tr w:rsidR="00B15354" w:rsidRPr="00BA7218">
              <w:tc>
                <w:tcPr>
                  <w:tcW w:w="2516" w:type="dxa"/>
                </w:tcPr>
                <w:p w:rsidR="00B15354" w:rsidRDefault="00B15354" w:rsidP="00D44013">
                  <w:pPr>
                    <w:spacing w:before="100" w:beforeAutospacing="1" w:after="100" w:afterAutospacing="1"/>
                    <w:rPr>
                      <w:rFonts w:eastAsia="Times New Roman" w:cs="Arial"/>
                      <w:bCs/>
                      <w:szCs w:val="22"/>
                    </w:rPr>
                  </w:pPr>
                  <w:r>
                    <w:rPr>
                      <w:rFonts w:eastAsia="Times New Roman" w:cs="Arial"/>
                      <w:bCs/>
                      <w:szCs w:val="22"/>
                    </w:rPr>
                    <w:t>% Arabic</w:t>
                  </w:r>
                </w:p>
              </w:tc>
              <w:tc>
                <w:tcPr>
                  <w:tcW w:w="2516" w:type="dxa"/>
                </w:tcPr>
                <w:p w:rsidR="00B15354" w:rsidRPr="00BA7218" w:rsidRDefault="00106A23" w:rsidP="00D44013">
                  <w:pPr>
                    <w:spacing w:before="100" w:beforeAutospacing="1" w:after="100" w:afterAutospacing="1"/>
                    <w:rPr>
                      <w:rFonts w:eastAsia="Times New Roman" w:cs="Arial"/>
                      <w:bCs/>
                      <w:szCs w:val="22"/>
                    </w:rPr>
                  </w:pPr>
                  <w:r>
                    <w:rPr>
                      <w:rFonts w:eastAsia="Times New Roman" w:cs="Arial"/>
                      <w:bCs/>
                      <w:szCs w:val="22"/>
                    </w:rPr>
                    <w:t>0%</w:t>
                  </w:r>
                </w:p>
              </w:tc>
              <w:tc>
                <w:tcPr>
                  <w:tcW w:w="2516" w:type="dxa"/>
                </w:tcPr>
                <w:p w:rsidR="00B15354" w:rsidRPr="00BA7218" w:rsidRDefault="00CF7158" w:rsidP="00D44013">
                  <w:pPr>
                    <w:spacing w:before="100" w:beforeAutospacing="1" w:after="100" w:afterAutospacing="1"/>
                    <w:rPr>
                      <w:rFonts w:eastAsia="Times New Roman" w:cs="Arial"/>
                      <w:bCs/>
                      <w:szCs w:val="22"/>
                    </w:rPr>
                  </w:pPr>
                  <w:r>
                    <w:rPr>
                      <w:rFonts w:eastAsia="Times New Roman" w:cs="Arial"/>
                      <w:bCs/>
                      <w:szCs w:val="22"/>
                    </w:rPr>
                    <w:t>4.65</w:t>
                  </w:r>
                  <w:r w:rsidR="00B15354">
                    <w:rPr>
                      <w:rFonts w:eastAsia="Times New Roman" w:cs="Arial"/>
                      <w:bCs/>
                      <w:szCs w:val="22"/>
                    </w:rPr>
                    <w:t>%</w:t>
                  </w:r>
                </w:p>
              </w:tc>
              <w:tc>
                <w:tcPr>
                  <w:tcW w:w="2517" w:type="dxa"/>
                </w:tcPr>
                <w:p w:rsidR="00B15354" w:rsidRDefault="00CF7158" w:rsidP="00D44013">
                  <w:pPr>
                    <w:spacing w:before="100" w:beforeAutospacing="1" w:after="100" w:afterAutospacing="1"/>
                    <w:rPr>
                      <w:rFonts w:eastAsia="Times New Roman" w:cs="Arial"/>
                      <w:bCs/>
                      <w:szCs w:val="22"/>
                    </w:rPr>
                  </w:pPr>
                  <w:r>
                    <w:rPr>
                      <w:rFonts w:eastAsia="Times New Roman" w:cs="Arial"/>
                      <w:bCs/>
                      <w:szCs w:val="22"/>
                    </w:rPr>
                    <w:t>0%</w:t>
                  </w:r>
                </w:p>
              </w:tc>
            </w:tr>
            <w:tr w:rsidR="00B15354" w:rsidRPr="00BA7218">
              <w:tc>
                <w:tcPr>
                  <w:tcW w:w="2516" w:type="dxa"/>
                </w:tcPr>
                <w:p w:rsidR="00B15354" w:rsidRDefault="00B15354" w:rsidP="00D44013">
                  <w:pPr>
                    <w:spacing w:before="100" w:beforeAutospacing="1" w:after="100" w:afterAutospacing="1"/>
                    <w:rPr>
                      <w:rFonts w:eastAsia="Times New Roman" w:cs="Arial"/>
                      <w:bCs/>
                      <w:szCs w:val="22"/>
                    </w:rPr>
                  </w:pPr>
                  <w:r>
                    <w:rPr>
                      <w:rFonts w:eastAsia="Times New Roman" w:cs="Arial"/>
                      <w:bCs/>
                      <w:szCs w:val="22"/>
                    </w:rPr>
                    <w:t>%</w:t>
                  </w:r>
                  <w:r w:rsidR="00106A23">
                    <w:rPr>
                      <w:rFonts w:eastAsia="Times New Roman" w:cs="Arial"/>
                      <w:bCs/>
                      <w:szCs w:val="22"/>
                    </w:rPr>
                    <w:t xml:space="preserve"> </w:t>
                  </w:r>
                  <w:r>
                    <w:rPr>
                      <w:rFonts w:eastAsia="Times New Roman" w:cs="Arial"/>
                      <w:bCs/>
                      <w:szCs w:val="22"/>
                    </w:rPr>
                    <w:t>Asian</w:t>
                  </w:r>
                </w:p>
              </w:tc>
              <w:tc>
                <w:tcPr>
                  <w:tcW w:w="2516" w:type="dxa"/>
                </w:tcPr>
                <w:p w:rsidR="00B15354" w:rsidRPr="00BA7218" w:rsidRDefault="00106A23" w:rsidP="00D44013">
                  <w:pPr>
                    <w:spacing w:before="100" w:beforeAutospacing="1" w:after="100" w:afterAutospacing="1"/>
                    <w:rPr>
                      <w:rFonts w:eastAsia="Times New Roman" w:cs="Arial"/>
                      <w:bCs/>
                      <w:szCs w:val="22"/>
                    </w:rPr>
                  </w:pPr>
                  <w:r>
                    <w:rPr>
                      <w:rFonts w:eastAsia="Times New Roman" w:cs="Arial"/>
                      <w:bCs/>
                      <w:szCs w:val="22"/>
                    </w:rPr>
                    <w:t>0%</w:t>
                  </w:r>
                </w:p>
              </w:tc>
              <w:tc>
                <w:tcPr>
                  <w:tcW w:w="2516" w:type="dxa"/>
                </w:tcPr>
                <w:p w:rsidR="00B15354" w:rsidRDefault="00CF7158" w:rsidP="00D44013">
                  <w:pPr>
                    <w:spacing w:before="100" w:beforeAutospacing="1" w:after="100" w:afterAutospacing="1"/>
                    <w:rPr>
                      <w:rFonts w:eastAsia="Times New Roman" w:cs="Arial"/>
                      <w:bCs/>
                      <w:szCs w:val="22"/>
                    </w:rPr>
                  </w:pPr>
                  <w:r>
                    <w:rPr>
                      <w:rFonts w:eastAsia="Times New Roman" w:cs="Arial"/>
                      <w:bCs/>
                      <w:szCs w:val="22"/>
                    </w:rPr>
                    <w:t>4.65%</w:t>
                  </w:r>
                </w:p>
              </w:tc>
              <w:tc>
                <w:tcPr>
                  <w:tcW w:w="2517" w:type="dxa"/>
                </w:tcPr>
                <w:p w:rsidR="00B15354" w:rsidRDefault="00CF7158" w:rsidP="00D44013">
                  <w:pPr>
                    <w:spacing w:before="100" w:beforeAutospacing="1" w:after="100" w:afterAutospacing="1"/>
                    <w:rPr>
                      <w:rFonts w:eastAsia="Times New Roman" w:cs="Arial"/>
                      <w:bCs/>
                      <w:szCs w:val="22"/>
                    </w:rPr>
                  </w:pPr>
                  <w:r>
                    <w:rPr>
                      <w:rFonts w:eastAsia="Times New Roman" w:cs="Arial"/>
                      <w:bCs/>
                      <w:szCs w:val="22"/>
                    </w:rPr>
                    <w:t>3.92</w:t>
                  </w:r>
                  <w:r w:rsidR="00B15354">
                    <w:rPr>
                      <w:rFonts w:eastAsia="Times New Roman" w:cs="Arial"/>
                      <w:bCs/>
                      <w:szCs w:val="22"/>
                    </w:rPr>
                    <w:t>%</w:t>
                  </w:r>
                </w:p>
              </w:tc>
            </w:tr>
            <w:tr w:rsidR="00106A23" w:rsidRPr="00BA7218">
              <w:tc>
                <w:tcPr>
                  <w:tcW w:w="2516" w:type="dxa"/>
                </w:tcPr>
                <w:p w:rsidR="00106A23" w:rsidRDefault="00106A23" w:rsidP="00D44013">
                  <w:pPr>
                    <w:spacing w:before="100" w:beforeAutospacing="1" w:after="100" w:afterAutospacing="1"/>
                    <w:rPr>
                      <w:rFonts w:eastAsia="Times New Roman" w:cs="Arial"/>
                      <w:bCs/>
                      <w:szCs w:val="22"/>
                    </w:rPr>
                  </w:pPr>
                  <w:r>
                    <w:rPr>
                      <w:rFonts w:eastAsia="Times New Roman" w:cs="Arial"/>
                      <w:bCs/>
                      <w:szCs w:val="22"/>
                    </w:rPr>
                    <w:t xml:space="preserve">% Chinese </w:t>
                  </w:r>
                </w:p>
              </w:tc>
              <w:tc>
                <w:tcPr>
                  <w:tcW w:w="2516" w:type="dxa"/>
                </w:tcPr>
                <w:p w:rsidR="00106A2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3.57%</w:t>
                  </w:r>
                </w:p>
              </w:tc>
              <w:tc>
                <w:tcPr>
                  <w:tcW w:w="2516" w:type="dxa"/>
                </w:tcPr>
                <w:p w:rsidR="00106A23" w:rsidRDefault="00106A23" w:rsidP="00D44013">
                  <w:pPr>
                    <w:spacing w:before="100" w:beforeAutospacing="1" w:after="100" w:afterAutospacing="1"/>
                    <w:rPr>
                      <w:rFonts w:eastAsia="Times New Roman" w:cs="Arial"/>
                      <w:bCs/>
                      <w:szCs w:val="22"/>
                    </w:rPr>
                  </w:pPr>
                  <w:r>
                    <w:rPr>
                      <w:rFonts w:eastAsia="Times New Roman" w:cs="Arial"/>
                      <w:bCs/>
                      <w:szCs w:val="22"/>
                    </w:rPr>
                    <w:t>2.32%</w:t>
                  </w:r>
                </w:p>
              </w:tc>
              <w:tc>
                <w:tcPr>
                  <w:tcW w:w="2517" w:type="dxa"/>
                </w:tcPr>
                <w:p w:rsidR="00106A23" w:rsidRDefault="00106A23" w:rsidP="00D44013">
                  <w:pPr>
                    <w:spacing w:before="100" w:beforeAutospacing="1" w:after="100" w:afterAutospacing="1"/>
                    <w:rPr>
                      <w:rFonts w:eastAsia="Times New Roman" w:cs="Arial"/>
                      <w:bCs/>
                      <w:szCs w:val="22"/>
                    </w:rPr>
                  </w:pPr>
                  <w:r>
                    <w:rPr>
                      <w:rFonts w:eastAsia="Times New Roman" w:cs="Arial"/>
                      <w:bCs/>
                      <w:szCs w:val="22"/>
                    </w:rPr>
                    <w:t>1.96%</w:t>
                  </w:r>
                </w:p>
              </w:tc>
            </w:tr>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r w:rsidRPr="00BA7218">
                    <w:rPr>
                      <w:rFonts w:eastAsia="Times New Roman" w:cs="Arial"/>
                      <w:bCs/>
                      <w:szCs w:val="22"/>
                    </w:rPr>
                    <w:t>% Black or African  American</w:t>
                  </w:r>
                </w:p>
              </w:tc>
              <w:tc>
                <w:tcPr>
                  <w:tcW w:w="2516" w:type="dxa"/>
                </w:tcPr>
                <w:p w:rsidR="00D4401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0</w:t>
                  </w:r>
                  <w:r w:rsidR="00D44013" w:rsidRPr="00BA7218">
                    <w:rPr>
                      <w:rFonts w:eastAsia="Times New Roman" w:cs="Arial"/>
                      <w:bCs/>
                      <w:szCs w:val="22"/>
                    </w:rPr>
                    <w:t>%</w:t>
                  </w:r>
                </w:p>
              </w:tc>
              <w:tc>
                <w:tcPr>
                  <w:tcW w:w="2516" w:type="dxa"/>
                </w:tcPr>
                <w:p w:rsidR="00D44013" w:rsidRPr="00BA7218" w:rsidRDefault="00B15354" w:rsidP="00D44013">
                  <w:pPr>
                    <w:spacing w:before="100" w:beforeAutospacing="1" w:after="100" w:afterAutospacing="1"/>
                    <w:rPr>
                      <w:rFonts w:eastAsia="Times New Roman" w:cs="Arial"/>
                      <w:bCs/>
                      <w:szCs w:val="22"/>
                    </w:rPr>
                  </w:pPr>
                  <w:r>
                    <w:rPr>
                      <w:rFonts w:eastAsia="Times New Roman" w:cs="Arial"/>
                      <w:bCs/>
                      <w:szCs w:val="22"/>
                    </w:rPr>
                    <w:t>0</w:t>
                  </w:r>
                  <w:r w:rsidR="00D44013" w:rsidRPr="00BA7218">
                    <w:rPr>
                      <w:rFonts w:eastAsia="Times New Roman" w:cs="Arial"/>
                      <w:bCs/>
                      <w:szCs w:val="22"/>
                    </w:rPr>
                    <w:t>%</w:t>
                  </w:r>
                </w:p>
              </w:tc>
              <w:tc>
                <w:tcPr>
                  <w:tcW w:w="2517"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1.96</w:t>
                  </w:r>
                  <w:r w:rsidR="00D44013" w:rsidRPr="00BA7218">
                    <w:rPr>
                      <w:rFonts w:eastAsia="Times New Roman" w:cs="Arial"/>
                      <w:bCs/>
                      <w:szCs w:val="22"/>
                    </w:rPr>
                    <w:t>%</w:t>
                  </w:r>
                </w:p>
              </w:tc>
            </w:tr>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r w:rsidRPr="00BA7218">
                    <w:rPr>
                      <w:rFonts w:eastAsia="Times New Roman" w:cs="Arial"/>
                      <w:bCs/>
                      <w:szCs w:val="22"/>
                    </w:rPr>
                    <w:t>% Hispanic or Latino</w:t>
                  </w:r>
                </w:p>
              </w:tc>
              <w:tc>
                <w:tcPr>
                  <w:tcW w:w="2516" w:type="dxa"/>
                </w:tcPr>
                <w:p w:rsidR="00D44013" w:rsidRPr="00BA7218" w:rsidRDefault="002332C8" w:rsidP="00D44013">
                  <w:pPr>
                    <w:spacing w:before="100" w:beforeAutospacing="1" w:after="100" w:afterAutospacing="1"/>
                    <w:rPr>
                      <w:rFonts w:eastAsia="Times New Roman" w:cs="Arial"/>
                      <w:bCs/>
                      <w:szCs w:val="22"/>
                    </w:rPr>
                  </w:pPr>
                  <w:r>
                    <w:rPr>
                      <w:rFonts w:eastAsia="Times New Roman" w:cs="Arial"/>
                      <w:bCs/>
                      <w:szCs w:val="22"/>
                    </w:rPr>
                    <w:t>46.43</w:t>
                  </w:r>
                  <w:r w:rsidR="00D44013" w:rsidRPr="00BA7218">
                    <w:rPr>
                      <w:rFonts w:eastAsia="Times New Roman" w:cs="Arial"/>
                      <w:bCs/>
                      <w:szCs w:val="22"/>
                    </w:rPr>
                    <w:t>%</w:t>
                  </w:r>
                </w:p>
              </w:tc>
              <w:tc>
                <w:tcPr>
                  <w:tcW w:w="2516"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39.53</w:t>
                  </w:r>
                  <w:r w:rsidR="00D44013" w:rsidRPr="00BA7218">
                    <w:rPr>
                      <w:rFonts w:eastAsia="Times New Roman" w:cs="Arial"/>
                      <w:bCs/>
                      <w:szCs w:val="22"/>
                    </w:rPr>
                    <w:t>%</w:t>
                  </w:r>
                </w:p>
              </w:tc>
              <w:tc>
                <w:tcPr>
                  <w:tcW w:w="2517" w:type="dxa"/>
                </w:tcPr>
                <w:p w:rsidR="00D44013" w:rsidRPr="00BA7218" w:rsidRDefault="00CF7158" w:rsidP="00D44013">
                  <w:pPr>
                    <w:spacing w:before="100" w:beforeAutospacing="1" w:after="100" w:afterAutospacing="1"/>
                    <w:rPr>
                      <w:rFonts w:eastAsia="Times New Roman" w:cs="Arial"/>
                      <w:bCs/>
                      <w:szCs w:val="22"/>
                    </w:rPr>
                  </w:pPr>
                  <w:r>
                    <w:rPr>
                      <w:rFonts w:eastAsia="Times New Roman" w:cs="Arial"/>
                      <w:bCs/>
                      <w:szCs w:val="22"/>
                    </w:rPr>
                    <w:t>45.09</w:t>
                  </w:r>
                  <w:r w:rsidR="00D44013" w:rsidRPr="00BA7218">
                    <w:rPr>
                      <w:rFonts w:eastAsia="Times New Roman" w:cs="Arial"/>
                      <w:bCs/>
                      <w:szCs w:val="22"/>
                    </w:rPr>
                    <w:t>%</w:t>
                  </w:r>
                </w:p>
              </w:tc>
            </w:tr>
            <w:tr w:rsidR="00D44013" w:rsidRPr="00BA7218">
              <w:tc>
                <w:tcPr>
                  <w:tcW w:w="2516" w:type="dxa"/>
                </w:tcPr>
                <w:p w:rsidR="00D44013" w:rsidRPr="00BA7218" w:rsidRDefault="00D44013" w:rsidP="00D44013">
                  <w:pPr>
                    <w:spacing w:before="100" w:beforeAutospacing="1" w:after="100" w:afterAutospacing="1"/>
                    <w:rPr>
                      <w:rFonts w:eastAsia="Times New Roman" w:cs="Arial"/>
                      <w:bCs/>
                      <w:szCs w:val="22"/>
                    </w:rPr>
                  </w:pPr>
                  <w:r w:rsidRPr="00BA7218">
                    <w:rPr>
                      <w:rFonts w:eastAsia="Times New Roman" w:cs="Arial"/>
                      <w:bCs/>
                      <w:szCs w:val="22"/>
                    </w:rPr>
                    <w:t>% White</w:t>
                  </w:r>
                </w:p>
              </w:tc>
              <w:tc>
                <w:tcPr>
                  <w:tcW w:w="2516" w:type="dxa"/>
                </w:tcPr>
                <w:p w:rsidR="00D4401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50</w:t>
                  </w:r>
                  <w:r w:rsidR="00D44013" w:rsidRPr="00BA7218">
                    <w:rPr>
                      <w:rFonts w:eastAsia="Times New Roman" w:cs="Arial"/>
                      <w:bCs/>
                      <w:szCs w:val="22"/>
                    </w:rPr>
                    <w:t>%</w:t>
                  </w:r>
                </w:p>
              </w:tc>
              <w:tc>
                <w:tcPr>
                  <w:tcW w:w="2516" w:type="dxa"/>
                </w:tcPr>
                <w:p w:rsidR="00D4401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44.19</w:t>
                  </w:r>
                  <w:r w:rsidR="00D44013" w:rsidRPr="00BA7218">
                    <w:rPr>
                      <w:rFonts w:eastAsia="Times New Roman" w:cs="Arial"/>
                      <w:bCs/>
                      <w:szCs w:val="22"/>
                    </w:rPr>
                    <w:t>%</w:t>
                  </w:r>
                </w:p>
              </w:tc>
              <w:tc>
                <w:tcPr>
                  <w:tcW w:w="2517" w:type="dxa"/>
                </w:tcPr>
                <w:p w:rsidR="00D44013" w:rsidRPr="00BA7218" w:rsidRDefault="00106A23" w:rsidP="00D44013">
                  <w:pPr>
                    <w:spacing w:before="100" w:beforeAutospacing="1" w:after="100" w:afterAutospacing="1"/>
                    <w:rPr>
                      <w:rFonts w:eastAsia="Times New Roman" w:cs="Arial"/>
                      <w:bCs/>
                      <w:szCs w:val="22"/>
                    </w:rPr>
                  </w:pPr>
                  <w:r>
                    <w:rPr>
                      <w:rFonts w:eastAsia="Times New Roman" w:cs="Arial"/>
                      <w:bCs/>
                      <w:szCs w:val="22"/>
                    </w:rPr>
                    <w:t>41.17</w:t>
                  </w:r>
                  <w:r w:rsidR="00D44013" w:rsidRPr="0064781A">
                    <w:rPr>
                      <w:rFonts w:eastAsia="Times New Roman" w:cs="Arial"/>
                      <w:bCs/>
                      <w:szCs w:val="22"/>
                    </w:rPr>
                    <w:t>%</w:t>
                  </w:r>
                </w:p>
              </w:tc>
            </w:tr>
            <w:tr w:rsidR="00D44013" w:rsidRPr="00BA7218">
              <w:tc>
                <w:tcPr>
                  <w:tcW w:w="2516" w:type="dxa"/>
                </w:tcPr>
                <w:p w:rsidR="00D44013" w:rsidRPr="00BA7218" w:rsidRDefault="00B15354" w:rsidP="00D44013">
                  <w:pPr>
                    <w:spacing w:before="100" w:beforeAutospacing="1" w:after="100" w:afterAutospacing="1"/>
                    <w:rPr>
                      <w:rFonts w:eastAsia="Times New Roman" w:cs="Arial"/>
                      <w:bCs/>
                      <w:szCs w:val="22"/>
                    </w:rPr>
                  </w:pPr>
                  <w:r>
                    <w:rPr>
                      <w:rFonts w:eastAsia="Times New Roman" w:cs="Arial"/>
                      <w:bCs/>
                      <w:szCs w:val="22"/>
                    </w:rPr>
                    <w:t>%</w:t>
                  </w:r>
                  <w:r w:rsidR="00D44013" w:rsidRPr="00BA7218">
                    <w:rPr>
                      <w:rFonts w:eastAsia="Times New Roman" w:cs="Arial"/>
                      <w:bCs/>
                      <w:szCs w:val="22"/>
                    </w:rPr>
                    <w:t xml:space="preserve"> of low SES students</w:t>
                  </w:r>
                </w:p>
              </w:tc>
              <w:tc>
                <w:tcPr>
                  <w:tcW w:w="2516" w:type="dxa"/>
                </w:tcPr>
                <w:p w:rsidR="00D44013" w:rsidRPr="00BA7218" w:rsidRDefault="002332C8" w:rsidP="00D44013">
                  <w:pPr>
                    <w:spacing w:before="100" w:beforeAutospacing="1" w:after="100" w:afterAutospacing="1"/>
                    <w:rPr>
                      <w:rFonts w:eastAsia="Times New Roman" w:cs="Arial"/>
                      <w:bCs/>
                      <w:szCs w:val="22"/>
                    </w:rPr>
                  </w:pPr>
                  <w:r>
                    <w:rPr>
                      <w:rFonts w:eastAsia="Times New Roman" w:cs="Arial"/>
                      <w:bCs/>
                      <w:szCs w:val="22"/>
                    </w:rPr>
                    <w:t>36%</w:t>
                  </w:r>
                </w:p>
              </w:tc>
              <w:tc>
                <w:tcPr>
                  <w:tcW w:w="2516" w:type="dxa"/>
                </w:tcPr>
                <w:p w:rsidR="00D44013" w:rsidRPr="00BA7218" w:rsidRDefault="00B15354" w:rsidP="00D44013">
                  <w:pPr>
                    <w:spacing w:before="100" w:beforeAutospacing="1" w:after="100" w:afterAutospacing="1"/>
                    <w:rPr>
                      <w:rFonts w:eastAsia="Times New Roman" w:cs="Arial"/>
                      <w:bCs/>
                      <w:szCs w:val="22"/>
                    </w:rPr>
                  </w:pPr>
                  <w:r>
                    <w:rPr>
                      <w:rFonts w:eastAsia="Times New Roman" w:cs="Arial"/>
                      <w:bCs/>
                      <w:szCs w:val="22"/>
                    </w:rPr>
                    <w:t>58%</w:t>
                  </w:r>
                </w:p>
              </w:tc>
              <w:tc>
                <w:tcPr>
                  <w:tcW w:w="2517" w:type="dxa"/>
                </w:tcPr>
                <w:p w:rsidR="00D44013" w:rsidRPr="00BA7218" w:rsidRDefault="00B15354" w:rsidP="00D44013">
                  <w:pPr>
                    <w:spacing w:before="100" w:beforeAutospacing="1" w:after="100" w:afterAutospacing="1"/>
                    <w:rPr>
                      <w:rFonts w:eastAsia="Times New Roman" w:cs="Arial"/>
                      <w:bCs/>
                      <w:szCs w:val="22"/>
                    </w:rPr>
                  </w:pPr>
                  <w:r>
                    <w:rPr>
                      <w:rFonts w:eastAsia="Times New Roman" w:cs="Arial"/>
                      <w:bCs/>
                      <w:szCs w:val="22"/>
                    </w:rPr>
                    <w:t>39%</w:t>
                  </w:r>
                </w:p>
              </w:tc>
            </w:tr>
          </w:tbl>
          <w:p w:rsidR="00D44013" w:rsidRPr="00385292" w:rsidRDefault="00D44013" w:rsidP="00D44013">
            <w:pPr>
              <w:rPr>
                <w:szCs w:val="22"/>
              </w:rPr>
            </w:pPr>
          </w:p>
          <w:p w:rsidR="00D44013" w:rsidRPr="00385292" w:rsidRDefault="00D44013" w:rsidP="00D44013">
            <w:pPr>
              <w:rPr>
                <w:rFonts w:eastAsia="Times New Roman" w:cs="Arial"/>
                <w:bCs/>
                <w:szCs w:val="22"/>
              </w:rPr>
            </w:pPr>
          </w:p>
        </w:tc>
      </w:tr>
      <w:tr w:rsidR="00D44013" w:rsidRPr="00385292">
        <w:trPr>
          <w:trHeight w:val="403"/>
        </w:trPr>
        <w:tc>
          <w:tcPr>
            <w:tcW w:w="10296" w:type="dxa"/>
            <w:vAlign w:val="center"/>
          </w:tcPr>
          <w:p w:rsidR="00D44013" w:rsidRPr="00385292" w:rsidRDefault="00D44013" w:rsidP="00D44013">
            <w:r w:rsidRPr="00385292">
              <w:rPr>
                <w:b/>
              </w:rPr>
              <w:t>Recruitment Practices:</w:t>
            </w:r>
          </w:p>
        </w:tc>
      </w:tr>
      <w:tr w:rsidR="00D44013" w:rsidRPr="00385292">
        <w:trPr>
          <w:trHeight w:val="2088"/>
        </w:trPr>
        <w:tc>
          <w:tcPr>
            <w:tcW w:w="10296" w:type="dxa"/>
          </w:tcPr>
          <w:p w:rsidR="002332C8" w:rsidRDefault="002332C8" w:rsidP="002332C8">
            <w:r>
              <w:t xml:space="preserve">Adams Elementary School </w:t>
            </w:r>
            <w:r w:rsidRPr="0063408E">
              <w:t>recognize</w:t>
            </w:r>
            <w:r>
              <w:t xml:space="preserve">s that all </w:t>
            </w:r>
            <w:r w:rsidRPr="0063408E">
              <w:t>children lea</w:t>
            </w:r>
            <w:r w:rsidR="002E36E7">
              <w:t>rn differently.  T</w:t>
            </w:r>
            <w:r>
              <w:t>herefore</w:t>
            </w:r>
            <w:r w:rsidR="002E36E7">
              <w:t>,</w:t>
            </w:r>
            <w:r>
              <w:t xml:space="preserve"> we have created two diverse Montessori classrooms to serve 1-3</w:t>
            </w:r>
            <w:r w:rsidRPr="00BD3210">
              <w:rPr>
                <w:vertAlign w:val="superscript"/>
              </w:rPr>
              <w:t>rd</w:t>
            </w:r>
            <w:r>
              <w:t xml:space="preserve"> grade students and 4-6</w:t>
            </w:r>
            <w:r w:rsidRPr="00BD3210">
              <w:rPr>
                <w:vertAlign w:val="superscript"/>
              </w:rPr>
              <w:t>th</w:t>
            </w:r>
            <w:r>
              <w:t xml:space="preserve"> grade students.  The</w:t>
            </w:r>
            <w:r w:rsidRPr="0063408E">
              <w:t xml:space="preserve"> Montessori classroom</w:t>
            </w:r>
            <w:r>
              <w:t>s contain 24-30 children at Adams School that serves as both a GATE and an Intervention classroom.</w:t>
            </w:r>
            <w:r w:rsidRPr="0063408E">
              <w:t xml:space="preserve"> </w:t>
            </w:r>
          </w:p>
          <w:p w:rsidR="002332C8" w:rsidRDefault="002332C8" w:rsidP="002332C8"/>
          <w:p w:rsidR="002332C8" w:rsidRDefault="002332C8" w:rsidP="002332C8">
            <w:r>
              <w:t>Students are</w:t>
            </w:r>
            <w:r w:rsidRPr="006A779E">
              <w:t xml:space="preserve"> placed in the Adams Montessori program based on parent request and teacher recommendation; with enrollment aligned with the district transfer request d</w:t>
            </w:r>
            <w:r>
              <w:t>eadlines (currently February 17t</w:t>
            </w:r>
            <w:r w:rsidRPr="006A779E">
              <w:t>h). If there is more interest in the program than there are spaces available, then Adams-boundary students will have first priority. A lottery may be held if necessary</w:t>
            </w:r>
            <w:r>
              <w:t>.</w:t>
            </w:r>
          </w:p>
          <w:p w:rsidR="00D44013" w:rsidRDefault="00D44013" w:rsidP="002332C8">
            <w:pPr>
              <w:ind w:left="270" w:hanging="270"/>
              <w:rPr>
                <w:rFonts w:ascii="Times New Roman" w:eastAsia="Times New Roman" w:hAnsi="Times New Roman"/>
                <w:szCs w:val="22"/>
              </w:rPr>
            </w:pPr>
          </w:p>
          <w:p w:rsidR="001F50C2" w:rsidRDefault="001F50C2" w:rsidP="002332C8">
            <w:pPr>
              <w:ind w:left="270" w:hanging="270"/>
              <w:rPr>
                <w:rFonts w:ascii="Times New Roman" w:eastAsia="Times New Roman" w:hAnsi="Times New Roman"/>
                <w:szCs w:val="22"/>
              </w:rPr>
            </w:pPr>
          </w:p>
          <w:p w:rsidR="001F50C2" w:rsidRDefault="001F50C2" w:rsidP="002332C8">
            <w:pPr>
              <w:ind w:left="270" w:hanging="270"/>
              <w:rPr>
                <w:rFonts w:ascii="Times New Roman" w:eastAsia="Times New Roman" w:hAnsi="Times New Roman"/>
                <w:szCs w:val="22"/>
              </w:rPr>
            </w:pPr>
          </w:p>
          <w:p w:rsidR="001F50C2" w:rsidRDefault="001F50C2" w:rsidP="002332C8">
            <w:pPr>
              <w:ind w:left="270" w:hanging="270"/>
              <w:rPr>
                <w:rFonts w:ascii="Times New Roman" w:eastAsia="Times New Roman" w:hAnsi="Times New Roman"/>
                <w:szCs w:val="22"/>
              </w:rPr>
            </w:pPr>
          </w:p>
          <w:p w:rsidR="001F50C2" w:rsidRDefault="001F50C2" w:rsidP="002332C8">
            <w:pPr>
              <w:ind w:left="270" w:hanging="270"/>
              <w:rPr>
                <w:rFonts w:ascii="Times New Roman" w:eastAsia="Times New Roman" w:hAnsi="Times New Roman"/>
                <w:szCs w:val="22"/>
              </w:rPr>
            </w:pPr>
          </w:p>
          <w:p w:rsidR="001F50C2" w:rsidRDefault="001F50C2" w:rsidP="002332C8">
            <w:pPr>
              <w:ind w:left="270" w:hanging="270"/>
              <w:rPr>
                <w:rFonts w:ascii="Times New Roman" w:eastAsia="Times New Roman" w:hAnsi="Times New Roman"/>
                <w:szCs w:val="22"/>
              </w:rPr>
            </w:pPr>
          </w:p>
          <w:p w:rsidR="001F50C2" w:rsidRDefault="001F50C2" w:rsidP="002332C8">
            <w:pPr>
              <w:ind w:left="270" w:hanging="270"/>
              <w:rPr>
                <w:rFonts w:ascii="Times New Roman" w:eastAsia="Times New Roman" w:hAnsi="Times New Roman"/>
                <w:szCs w:val="22"/>
              </w:rPr>
            </w:pPr>
          </w:p>
          <w:p w:rsidR="001F50C2" w:rsidRPr="00385292" w:rsidRDefault="001F50C2" w:rsidP="002332C8">
            <w:pPr>
              <w:ind w:left="270" w:hanging="270"/>
              <w:rPr>
                <w:rFonts w:ascii="Times New Roman" w:eastAsia="Times New Roman" w:hAnsi="Times New Roman"/>
                <w:szCs w:val="22"/>
              </w:rPr>
            </w:pPr>
          </w:p>
        </w:tc>
      </w:tr>
      <w:tr w:rsidR="00D44013" w:rsidRPr="00385292">
        <w:trPr>
          <w:trHeight w:val="403"/>
        </w:trPr>
        <w:tc>
          <w:tcPr>
            <w:tcW w:w="10296" w:type="dxa"/>
            <w:vAlign w:val="center"/>
          </w:tcPr>
          <w:p w:rsidR="00D44013" w:rsidRPr="00385292" w:rsidRDefault="00D44013" w:rsidP="00D44013">
            <w:r w:rsidRPr="00385292">
              <w:rPr>
                <w:b/>
              </w:rPr>
              <w:lastRenderedPageBreak/>
              <w:t>Funding Sources:</w:t>
            </w:r>
          </w:p>
        </w:tc>
      </w:tr>
      <w:tr w:rsidR="00D44013" w:rsidRPr="00385292">
        <w:trPr>
          <w:trHeight w:val="2088"/>
        </w:trPr>
        <w:tc>
          <w:tcPr>
            <w:tcW w:w="10296" w:type="dxa"/>
          </w:tcPr>
          <w:p w:rsidR="00D44013" w:rsidRPr="00385292" w:rsidRDefault="002332C8" w:rsidP="002332C8">
            <w:pPr>
              <w:rPr>
                <w:szCs w:val="22"/>
              </w:rPr>
            </w:pPr>
            <w:r>
              <w:t xml:space="preserve">The Adams Montessori program ties in with the SBUSD mission to ensure the educational success of all students, which recognizes that all students do not learn the same way. Teachers in the program must hold both </w:t>
            </w:r>
            <w:r w:rsidR="008023F8">
              <w:t>a California credential</w:t>
            </w:r>
            <w:r>
              <w:t xml:space="preserve"> and </w:t>
            </w:r>
            <w:r w:rsidR="008023F8">
              <w:t>a Montessori credential (</w:t>
            </w:r>
            <w:r>
              <w:t>AMI or AMS</w:t>
            </w:r>
            <w:r w:rsidR="008023F8">
              <w:t>)</w:t>
            </w:r>
            <w:r>
              <w:t>.</w:t>
            </w:r>
            <w:r w:rsidR="008023F8">
              <w:t xml:space="preserve">  The Montessori teachers are funded through the SBUSD.  The classroom materials have been funded through site categorical and lottery funds.  A part-time curriculum specialist is funded through site categorical funds   to support the multi-age classrooms.  </w:t>
            </w:r>
          </w:p>
        </w:tc>
      </w:tr>
      <w:tr w:rsidR="00D44013" w:rsidRPr="00385292">
        <w:trPr>
          <w:trHeight w:val="403"/>
        </w:trPr>
        <w:tc>
          <w:tcPr>
            <w:tcW w:w="10296" w:type="dxa"/>
            <w:vAlign w:val="center"/>
          </w:tcPr>
          <w:p w:rsidR="00D44013" w:rsidRPr="00385292" w:rsidRDefault="00D44013" w:rsidP="00D44013">
            <w:r w:rsidRPr="00385292">
              <w:rPr>
                <w:b/>
              </w:rPr>
              <w:t>Student Academic Data:</w:t>
            </w:r>
          </w:p>
        </w:tc>
      </w:tr>
      <w:tr w:rsidR="00D44013" w:rsidRPr="00385292">
        <w:trPr>
          <w:trHeight w:val="2088"/>
        </w:trPr>
        <w:tc>
          <w:tcPr>
            <w:tcW w:w="10296" w:type="dxa"/>
          </w:tcPr>
          <w:p w:rsidR="00BE3593" w:rsidRDefault="00611B6D" w:rsidP="00D44013">
            <w:pPr>
              <w:rPr>
                <w:rFonts w:cs="Arial"/>
                <w:color w:val="000000"/>
                <w:szCs w:val="22"/>
              </w:rPr>
            </w:pPr>
            <w:r>
              <w:rPr>
                <w:rFonts w:cs="Arial"/>
                <w:color w:val="000000"/>
                <w:szCs w:val="22"/>
              </w:rPr>
              <w:t xml:space="preserve">Adams Montessori </w:t>
            </w:r>
            <w:r w:rsidR="00D44013" w:rsidRPr="00385292">
              <w:rPr>
                <w:rFonts w:cs="Arial"/>
                <w:color w:val="000000"/>
                <w:szCs w:val="22"/>
              </w:rPr>
              <w:t>stu</w:t>
            </w:r>
            <w:r>
              <w:rPr>
                <w:rFonts w:cs="Arial"/>
                <w:color w:val="000000"/>
                <w:szCs w:val="22"/>
              </w:rPr>
              <w:t xml:space="preserve">dents are </w:t>
            </w:r>
            <w:r w:rsidR="00BE3593">
              <w:rPr>
                <w:rFonts w:cs="Arial"/>
                <w:color w:val="000000"/>
                <w:szCs w:val="22"/>
              </w:rPr>
              <w:t>high achieving</w:t>
            </w:r>
            <w:r>
              <w:rPr>
                <w:rFonts w:cs="Arial"/>
                <w:color w:val="000000"/>
                <w:szCs w:val="22"/>
              </w:rPr>
              <w:t xml:space="preserve"> in academics</w:t>
            </w:r>
            <w:r w:rsidR="008023F8">
              <w:rPr>
                <w:rFonts w:cs="Arial"/>
                <w:color w:val="000000"/>
                <w:szCs w:val="22"/>
              </w:rPr>
              <w:t>.  S</w:t>
            </w:r>
            <w:r>
              <w:rPr>
                <w:rFonts w:cs="Arial"/>
                <w:color w:val="000000"/>
                <w:szCs w:val="22"/>
              </w:rPr>
              <w:t xml:space="preserve">tudents consistently excel in district formative and summative assessments.  </w:t>
            </w:r>
            <w:r w:rsidR="00BE3593">
              <w:rPr>
                <w:rFonts w:cs="Arial"/>
                <w:color w:val="000000"/>
                <w:szCs w:val="22"/>
              </w:rPr>
              <w:t>The Re</w:t>
            </w:r>
            <w:r w:rsidR="00D773C3">
              <w:rPr>
                <w:rFonts w:cs="Arial"/>
                <w:color w:val="000000"/>
                <w:szCs w:val="22"/>
              </w:rPr>
              <w:t>naissance Learning STAR Reading</w:t>
            </w:r>
            <w:r w:rsidR="00102122">
              <w:rPr>
                <w:rFonts w:cs="Arial"/>
                <w:color w:val="000000"/>
                <w:szCs w:val="22"/>
              </w:rPr>
              <w:t xml:space="preserve"> and STAR Math</w:t>
            </w:r>
            <w:r w:rsidR="00BE3593">
              <w:rPr>
                <w:rFonts w:cs="Arial"/>
                <w:color w:val="000000"/>
                <w:szCs w:val="22"/>
              </w:rPr>
              <w:t xml:space="preserve"> scores for the Montessori students in both 1-3</w:t>
            </w:r>
            <w:r w:rsidR="00BE3593" w:rsidRPr="00BE3593">
              <w:rPr>
                <w:rFonts w:cs="Arial"/>
                <w:color w:val="000000"/>
                <w:szCs w:val="22"/>
                <w:vertAlign w:val="superscript"/>
              </w:rPr>
              <w:t>rd</w:t>
            </w:r>
            <w:r w:rsidR="00BE3593">
              <w:rPr>
                <w:rFonts w:cs="Arial"/>
                <w:color w:val="000000"/>
                <w:szCs w:val="22"/>
              </w:rPr>
              <w:t xml:space="preserve"> grade and 4-6</w:t>
            </w:r>
            <w:r w:rsidR="00BE3593" w:rsidRPr="00BE3593">
              <w:rPr>
                <w:rFonts w:cs="Arial"/>
                <w:color w:val="000000"/>
                <w:szCs w:val="22"/>
                <w:vertAlign w:val="superscript"/>
              </w:rPr>
              <w:t>th</w:t>
            </w:r>
            <w:r w:rsidR="00BE3593">
              <w:rPr>
                <w:rFonts w:cs="Arial"/>
                <w:color w:val="000000"/>
                <w:szCs w:val="22"/>
              </w:rPr>
              <w:t xml:space="preserve"> grade classrooms indicate both a High Growth and High Achievement rate for all students.  </w:t>
            </w:r>
          </w:p>
          <w:p w:rsidR="00C01005" w:rsidRDefault="00C01005" w:rsidP="00C01005">
            <w:pPr>
              <w:pStyle w:val="NormalWeb"/>
              <w:rPr>
                <w:rFonts w:ascii="Arial" w:hAnsi="Arial" w:cs="Arial"/>
                <w:sz w:val="22"/>
                <w:szCs w:val="22"/>
              </w:rPr>
            </w:pPr>
            <w:r>
              <w:rPr>
                <w:rFonts w:ascii="Arial" w:hAnsi="Arial" w:cs="Arial"/>
                <w:b/>
                <w:sz w:val="22"/>
                <w:szCs w:val="22"/>
              </w:rPr>
              <w:t xml:space="preserve">About </w:t>
            </w:r>
            <w:r w:rsidR="00864B9A" w:rsidRPr="00864B9A">
              <w:rPr>
                <w:rFonts w:ascii="Arial" w:hAnsi="Arial" w:cs="Arial"/>
                <w:b/>
                <w:sz w:val="22"/>
                <w:szCs w:val="22"/>
              </w:rPr>
              <w:t>STAR Reading:</w:t>
            </w:r>
            <w:r w:rsidR="00864B9A">
              <w:rPr>
                <w:rFonts w:ascii="Arial" w:hAnsi="Arial" w:cs="Arial"/>
                <w:sz w:val="22"/>
                <w:szCs w:val="22"/>
              </w:rPr>
              <w:t xml:space="preserve">  </w:t>
            </w:r>
            <w:r w:rsidR="00864B9A" w:rsidRPr="00864B9A">
              <w:rPr>
                <w:rFonts w:ascii="Arial" w:hAnsi="Arial" w:cs="Arial"/>
                <w:sz w:val="22"/>
                <w:szCs w:val="22"/>
              </w:rPr>
              <w:t xml:space="preserve">The </w:t>
            </w:r>
            <w:r w:rsidR="00AA09D6">
              <w:rPr>
                <w:rFonts w:ascii="Arial" w:hAnsi="Arial" w:cs="Arial"/>
                <w:sz w:val="22"/>
                <w:szCs w:val="22"/>
              </w:rPr>
              <w:t xml:space="preserve">criterion referenced </w:t>
            </w:r>
            <w:r w:rsidR="00864B9A" w:rsidRPr="00864B9A">
              <w:rPr>
                <w:rFonts w:ascii="Arial" w:hAnsi="Arial" w:cs="Arial"/>
                <w:sz w:val="22"/>
                <w:szCs w:val="22"/>
              </w:rPr>
              <w:t xml:space="preserve">STAR Reading test is generally administered to K-12 students who have a reading vocabulary of at least 100 words.  The student should have at least a beginning reading level around the </w:t>
            </w:r>
            <w:r w:rsidR="00864B9A">
              <w:rPr>
                <w:rFonts w:ascii="Arial" w:hAnsi="Arial" w:cs="Arial"/>
                <w:sz w:val="22"/>
                <w:szCs w:val="22"/>
              </w:rPr>
              <w:t>mid-</w:t>
            </w:r>
            <w:r w:rsidR="00864B9A" w:rsidRPr="00864B9A">
              <w:rPr>
                <w:rFonts w:ascii="Arial" w:hAnsi="Arial" w:cs="Arial"/>
                <w:sz w:val="22"/>
                <w:szCs w:val="22"/>
              </w:rPr>
              <w:t>first grade.  A good measure to see if a student is ready to take the STAR Reading</w:t>
            </w:r>
            <w:r>
              <w:rPr>
                <w:rFonts w:ascii="Arial" w:hAnsi="Arial" w:cs="Arial"/>
                <w:sz w:val="22"/>
                <w:szCs w:val="22"/>
              </w:rPr>
              <w:t xml:space="preserve"> assessment</w:t>
            </w:r>
            <w:r w:rsidR="00864B9A" w:rsidRPr="00864B9A">
              <w:rPr>
                <w:rFonts w:ascii="Arial" w:hAnsi="Arial" w:cs="Arial"/>
                <w:sz w:val="22"/>
                <w:szCs w:val="22"/>
              </w:rPr>
              <w:t xml:space="preserve"> is through the practice test.   Students that can work through the practice questions unassisted should be able to take the STAR Reading test. The STAR Reading is a computer adaptive </w:t>
            </w:r>
            <w:r w:rsidR="00864B9A" w:rsidRPr="00C01005">
              <w:rPr>
                <w:rFonts w:ascii="Arial" w:hAnsi="Arial" w:cs="Arial"/>
                <w:sz w:val="22"/>
                <w:szCs w:val="22"/>
              </w:rPr>
              <w:t xml:space="preserve">reading test and database that has fill-in- the blank questions. Students answer 25 or more questions on a computer or an iPad. The assessment takes about ten minutes to answer all of the questions. </w:t>
            </w:r>
          </w:p>
          <w:p w:rsidR="00C01005" w:rsidRPr="00C01005" w:rsidRDefault="00C01005" w:rsidP="00C01005">
            <w:pPr>
              <w:pStyle w:val="NormalWeb"/>
              <w:rPr>
                <w:rFonts w:ascii="Arial" w:hAnsi="Arial" w:cs="Arial"/>
                <w:sz w:val="22"/>
                <w:szCs w:val="22"/>
              </w:rPr>
            </w:pPr>
            <w:r w:rsidRPr="00C01005">
              <w:rPr>
                <w:rFonts w:ascii="Arial" w:hAnsi="Arial" w:cs="Arial"/>
                <w:color w:val="0E0E0E"/>
                <w:kern w:val="1"/>
                <w:sz w:val="22"/>
                <w:szCs w:val="22"/>
              </w:rPr>
              <w:t xml:space="preserve">The STAR Reading assessment is also linked to the Renaissance Learning Accelerated Reader assessment that generates a comprehension assessment for students to take after he/she has completed a book.  The principal sets student reading goals at the following targets:  All students are to read within their Zone of Proximal Development (ZPD), 30 minutes daily, score 85% or higher on the comprehension </w:t>
            </w:r>
            <w:r>
              <w:rPr>
                <w:rFonts w:ascii="Arial" w:hAnsi="Arial" w:cs="Arial"/>
                <w:color w:val="0E0E0E"/>
                <w:kern w:val="1"/>
                <w:sz w:val="22"/>
                <w:szCs w:val="22"/>
              </w:rPr>
              <w:t xml:space="preserve">assessment with 50% of all reading being non-fiction for </w:t>
            </w:r>
            <w:r w:rsidRPr="00C01005">
              <w:rPr>
                <w:rFonts w:ascii="Arial" w:hAnsi="Arial" w:cs="Arial"/>
                <w:color w:val="0E0E0E"/>
                <w:kern w:val="1"/>
                <w:sz w:val="22"/>
                <w:szCs w:val="22"/>
              </w:rPr>
              <w:t xml:space="preserve">month.  The principal provides incentive parties at the end of every month for students who meet the above criteria.  </w:t>
            </w:r>
            <w:r>
              <w:rPr>
                <w:rFonts w:ascii="Arial" w:hAnsi="Arial" w:cs="Arial"/>
                <w:color w:val="0E0E0E"/>
                <w:kern w:val="1"/>
                <w:sz w:val="22"/>
                <w:szCs w:val="22"/>
              </w:rPr>
              <w:t>All of the Montessori students consistently hit</w:t>
            </w:r>
            <w:r w:rsidR="00D773C3">
              <w:rPr>
                <w:rFonts w:ascii="Arial" w:hAnsi="Arial" w:cs="Arial"/>
                <w:color w:val="0E0E0E"/>
                <w:kern w:val="1"/>
                <w:sz w:val="22"/>
                <w:szCs w:val="22"/>
              </w:rPr>
              <w:t xml:space="preserve"> their reading goals for the month.  All of the 4-6</w:t>
            </w:r>
            <w:r w:rsidR="00D773C3" w:rsidRPr="00D773C3">
              <w:rPr>
                <w:rFonts w:ascii="Arial" w:hAnsi="Arial" w:cs="Arial"/>
                <w:color w:val="0E0E0E"/>
                <w:kern w:val="1"/>
                <w:sz w:val="22"/>
                <w:szCs w:val="22"/>
                <w:vertAlign w:val="superscript"/>
              </w:rPr>
              <w:t>th</w:t>
            </w:r>
            <w:r w:rsidR="00D773C3">
              <w:rPr>
                <w:rFonts w:ascii="Arial" w:hAnsi="Arial" w:cs="Arial"/>
                <w:color w:val="0E0E0E"/>
                <w:kern w:val="1"/>
                <w:sz w:val="22"/>
                <w:szCs w:val="22"/>
              </w:rPr>
              <w:t xml:space="preserve"> grade students have hit their reading target, every single month for the 2014-2015 school year.  </w:t>
            </w:r>
          </w:p>
          <w:p w:rsidR="00C01005" w:rsidRDefault="00C01005" w:rsidP="00C01005">
            <w:pPr>
              <w:pStyle w:val="NormalWeb"/>
              <w:rPr>
                <w:rFonts w:ascii="Arial" w:hAnsi="Arial" w:cs="Arial"/>
                <w:sz w:val="22"/>
                <w:szCs w:val="22"/>
              </w:rPr>
            </w:pPr>
          </w:p>
          <w:p w:rsidR="00D773C3" w:rsidRDefault="00D773C3" w:rsidP="00C01005">
            <w:pPr>
              <w:pStyle w:val="NormalWeb"/>
              <w:rPr>
                <w:rFonts w:ascii="Arial" w:hAnsi="Arial" w:cs="Arial"/>
                <w:sz w:val="22"/>
                <w:szCs w:val="22"/>
              </w:rPr>
            </w:pPr>
          </w:p>
          <w:p w:rsidR="00D773C3" w:rsidRDefault="00D773C3" w:rsidP="00C01005">
            <w:pPr>
              <w:pStyle w:val="NormalWeb"/>
              <w:rPr>
                <w:rFonts w:ascii="Arial" w:hAnsi="Arial" w:cs="Arial"/>
                <w:sz w:val="22"/>
                <w:szCs w:val="22"/>
              </w:rPr>
            </w:pPr>
          </w:p>
          <w:p w:rsidR="00D773C3" w:rsidRDefault="00D773C3" w:rsidP="00C01005">
            <w:pPr>
              <w:pStyle w:val="NormalWeb"/>
              <w:rPr>
                <w:rFonts w:ascii="Arial" w:hAnsi="Arial" w:cs="Arial"/>
                <w:sz w:val="22"/>
                <w:szCs w:val="22"/>
              </w:rPr>
            </w:pPr>
          </w:p>
          <w:p w:rsidR="00D773C3" w:rsidRDefault="00D773C3" w:rsidP="00C01005">
            <w:pPr>
              <w:pStyle w:val="NormalWeb"/>
              <w:rPr>
                <w:rFonts w:ascii="Arial" w:hAnsi="Arial" w:cs="Arial"/>
                <w:sz w:val="22"/>
                <w:szCs w:val="22"/>
              </w:rPr>
            </w:pPr>
          </w:p>
          <w:p w:rsidR="00D773C3" w:rsidRDefault="00D773C3" w:rsidP="00C01005">
            <w:pPr>
              <w:pStyle w:val="NormalWeb"/>
              <w:rPr>
                <w:rFonts w:ascii="Arial" w:hAnsi="Arial" w:cs="Arial"/>
                <w:sz w:val="22"/>
                <w:szCs w:val="22"/>
              </w:rPr>
            </w:pPr>
          </w:p>
          <w:p w:rsidR="00D773C3" w:rsidRPr="00C01005" w:rsidRDefault="00D773C3" w:rsidP="00C01005">
            <w:pPr>
              <w:pStyle w:val="NormalWeb"/>
              <w:rPr>
                <w:rFonts w:ascii="Arial" w:hAnsi="Arial" w:cs="Arial"/>
                <w:sz w:val="22"/>
                <w:szCs w:val="22"/>
              </w:rPr>
            </w:pPr>
          </w:p>
          <w:p w:rsidR="00BE3593" w:rsidRDefault="00E4472A" w:rsidP="00D44013">
            <w:pPr>
              <w:rPr>
                <w:rFonts w:cs="Arial"/>
                <w:color w:val="000000"/>
                <w:szCs w:val="22"/>
              </w:rPr>
            </w:pPr>
            <w:r>
              <w:rPr>
                <w:rFonts w:cs="Arial"/>
                <w:color w:val="000000"/>
                <w:szCs w:val="22"/>
              </w:rPr>
              <w:t>Table 1</w:t>
            </w:r>
            <w:r w:rsidR="00C01005">
              <w:rPr>
                <w:rFonts w:cs="Arial"/>
                <w:color w:val="000000"/>
                <w:szCs w:val="22"/>
              </w:rPr>
              <w:t>.0</w:t>
            </w:r>
            <w:r>
              <w:rPr>
                <w:rFonts w:cs="Arial"/>
                <w:color w:val="000000"/>
                <w:szCs w:val="22"/>
              </w:rPr>
              <w:t xml:space="preserve">: STAR Reading Student Growth Progress, Lower Elementary </w:t>
            </w:r>
          </w:p>
          <w:p w:rsidR="00E4472A" w:rsidRDefault="00847CC8" w:rsidP="00D44013">
            <w:pPr>
              <w:rPr>
                <w:rFonts w:cs="Arial"/>
                <w:color w:val="000000"/>
                <w:szCs w:val="22"/>
              </w:rPr>
            </w:pPr>
            <w:r>
              <w:rPr>
                <w:rFonts w:cs="Arial"/>
                <w:noProof/>
                <w:color w:val="000000"/>
                <w:szCs w:val="22"/>
              </w:rPr>
              <w:drawing>
                <wp:inline distT="0" distB="0" distL="0" distR="0">
                  <wp:extent cx="5428615" cy="2983865"/>
                  <wp:effectExtent l="0" t="0" r="6985" b="0"/>
                  <wp:docPr id="2" name="Picture 2" descr="Screen Shot 2015-04-2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21 a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615" cy="2983865"/>
                          </a:xfrm>
                          <a:prstGeom prst="rect">
                            <a:avLst/>
                          </a:prstGeom>
                          <a:noFill/>
                          <a:ln>
                            <a:noFill/>
                          </a:ln>
                        </pic:spPr>
                      </pic:pic>
                    </a:graphicData>
                  </a:graphic>
                </wp:inline>
              </w:drawing>
            </w:r>
          </w:p>
          <w:p w:rsidR="008023F8" w:rsidRDefault="008023F8" w:rsidP="00D44013">
            <w:pPr>
              <w:rPr>
                <w:rFonts w:cs="Arial"/>
                <w:color w:val="000000"/>
                <w:szCs w:val="22"/>
              </w:rPr>
            </w:pPr>
          </w:p>
          <w:p w:rsidR="00E4472A" w:rsidRPr="00E4472A" w:rsidRDefault="00E4472A" w:rsidP="00D44013">
            <w:pPr>
              <w:rPr>
                <w:rFonts w:cs="Arial"/>
                <w:color w:val="000000"/>
                <w:szCs w:val="22"/>
              </w:rPr>
            </w:pPr>
            <w:r>
              <w:rPr>
                <w:rFonts w:cs="Arial"/>
                <w:color w:val="000000"/>
                <w:szCs w:val="22"/>
              </w:rPr>
              <w:t>Table 2</w:t>
            </w:r>
            <w:r w:rsidR="00C01005">
              <w:rPr>
                <w:rFonts w:cs="Arial"/>
                <w:color w:val="000000"/>
                <w:szCs w:val="22"/>
              </w:rPr>
              <w:t>.0</w:t>
            </w:r>
            <w:r>
              <w:rPr>
                <w:rFonts w:cs="Arial"/>
                <w:color w:val="000000"/>
                <w:szCs w:val="22"/>
              </w:rPr>
              <w:t xml:space="preserve">: STAR Reading Student Growth Progress, Upper Elementary </w:t>
            </w:r>
          </w:p>
          <w:p w:rsidR="00E4472A" w:rsidRDefault="00847CC8" w:rsidP="00D44013">
            <w:pPr>
              <w:rPr>
                <w:rFonts w:cs="Arial"/>
                <w:color w:val="000000"/>
                <w:szCs w:val="22"/>
              </w:rPr>
            </w:pPr>
            <w:r>
              <w:rPr>
                <w:rFonts w:eastAsia="Times New Roman" w:cs="Arial"/>
                <w:noProof/>
                <w:color w:val="000000"/>
                <w:sz w:val="23"/>
                <w:szCs w:val="23"/>
              </w:rPr>
              <w:drawing>
                <wp:inline distT="0" distB="0" distL="0" distR="0">
                  <wp:extent cx="5322570" cy="3099435"/>
                  <wp:effectExtent l="0" t="0" r="11430" b="0"/>
                  <wp:docPr id="3" name="Picture 3" descr="Screen Shot 2015-04-2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4-21 a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70" cy="3099435"/>
                          </a:xfrm>
                          <a:prstGeom prst="rect">
                            <a:avLst/>
                          </a:prstGeom>
                          <a:noFill/>
                          <a:ln>
                            <a:noFill/>
                          </a:ln>
                        </pic:spPr>
                      </pic:pic>
                    </a:graphicData>
                  </a:graphic>
                </wp:inline>
              </w:drawing>
            </w:r>
          </w:p>
          <w:p w:rsidR="00E4472A" w:rsidRDefault="00E4472A" w:rsidP="00D44013">
            <w:pPr>
              <w:rPr>
                <w:rFonts w:cs="Arial"/>
                <w:color w:val="000000"/>
                <w:szCs w:val="22"/>
              </w:rPr>
            </w:pPr>
          </w:p>
          <w:p w:rsidR="008E4796" w:rsidRDefault="008E4796" w:rsidP="00D44013">
            <w:pPr>
              <w:rPr>
                <w:rFonts w:cs="Arial"/>
                <w:color w:val="000000"/>
                <w:szCs w:val="22"/>
              </w:rPr>
            </w:pPr>
            <w:r>
              <w:rPr>
                <w:rFonts w:cs="Arial"/>
                <w:color w:val="000000"/>
                <w:szCs w:val="22"/>
              </w:rPr>
              <w:t>Tables 1</w:t>
            </w:r>
            <w:r w:rsidR="00C01005">
              <w:rPr>
                <w:rFonts w:cs="Arial"/>
                <w:color w:val="000000"/>
                <w:szCs w:val="22"/>
              </w:rPr>
              <w:t>.0</w:t>
            </w:r>
            <w:r>
              <w:rPr>
                <w:rFonts w:cs="Arial"/>
                <w:color w:val="000000"/>
                <w:szCs w:val="22"/>
              </w:rPr>
              <w:t xml:space="preserve"> and 2</w:t>
            </w:r>
            <w:r w:rsidR="00C01005">
              <w:rPr>
                <w:rFonts w:cs="Arial"/>
                <w:color w:val="000000"/>
                <w:szCs w:val="22"/>
              </w:rPr>
              <w:t>.0</w:t>
            </w:r>
            <w:r>
              <w:rPr>
                <w:rFonts w:cs="Arial"/>
                <w:color w:val="000000"/>
                <w:szCs w:val="22"/>
              </w:rPr>
              <w:t xml:space="preserve"> indicate that over 80% of the students are scoring proficient or above on Common Core Reading Standards</w:t>
            </w:r>
            <w:r w:rsidR="00AA09D6">
              <w:rPr>
                <w:rFonts w:cs="Arial"/>
                <w:color w:val="000000"/>
                <w:szCs w:val="22"/>
              </w:rPr>
              <w:t xml:space="preserve"> according to the</w:t>
            </w:r>
            <w:r w:rsidR="00102122">
              <w:rPr>
                <w:rFonts w:cs="Arial"/>
                <w:color w:val="000000"/>
                <w:szCs w:val="22"/>
              </w:rPr>
              <w:t xml:space="preserve"> </w:t>
            </w:r>
            <w:r w:rsidR="00631A16">
              <w:rPr>
                <w:rFonts w:cs="Arial"/>
                <w:color w:val="000000"/>
                <w:szCs w:val="22"/>
              </w:rPr>
              <w:t xml:space="preserve">Renaissance </w:t>
            </w:r>
            <w:r w:rsidR="00DD63A2">
              <w:rPr>
                <w:rFonts w:cs="Arial"/>
                <w:color w:val="000000"/>
                <w:szCs w:val="22"/>
              </w:rPr>
              <w:t>Learning STAR Reading assessment</w:t>
            </w:r>
            <w:r>
              <w:rPr>
                <w:rFonts w:cs="Arial"/>
                <w:color w:val="000000"/>
                <w:szCs w:val="22"/>
              </w:rPr>
              <w:t xml:space="preserve">. </w:t>
            </w:r>
            <w:r w:rsidR="008023F8">
              <w:rPr>
                <w:rFonts w:cs="Arial"/>
                <w:color w:val="000000"/>
                <w:szCs w:val="22"/>
              </w:rPr>
              <w:t>The expected student growth progress across the nation is between 40-60 SGP.  The 1-3</w:t>
            </w:r>
            <w:r w:rsidR="008023F8" w:rsidRPr="008023F8">
              <w:rPr>
                <w:rFonts w:cs="Arial"/>
                <w:color w:val="000000"/>
                <w:szCs w:val="22"/>
                <w:vertAlign w:val="superscript"/>
              </w:rPr>
              <w:t>rd</w:t>
            </w:r>
            <w:r w:rsidR="008023F8">
              <w:rPr>
                <w:rFonts w:cs="Arial"/>
                <w:color w:val="000000"/>
                <w:szCs w:val="22"/>
              </w:rPr>
              <w:t xml:space="preserve"> grade students are displaying median student growth </w:t>
            </w:r>
            <w:r w:rsidR="00631A16">
              <w:rPr>
                <w:rFonts w:cs="Arial"/>
                <w:color w:val="000000"/>
                <w:szCs w:val="22"/>
              </w:rPr>
              <w:t xml:space="preserve">(45 SGP) </w:t>
            </w:r>
            <w:r w:rsidR="008023F8">
              <w:rPr>
                <w:rFonts w:cs="Arial"/>
                <w:color w:val="000000"/>
                <w:szCs w:val="22"/>
              </w:rPr>
              <w:t>from the Fall to Winter progres</w:t>
            </w:r>
            <w:r w:rsidR="00DD63A2">
              <w:rPr>
                <w:rFonts w:cs="Arial"/>
                <w:color w:val="000000"/>
                <w:szCs w:val="22"/>
              </w:rPr>
              <w:t>s, while the 4-6</w:t>
            </w:r>
            <w:r w:rsidR="00DD63A2" w:rsidRPr="00DD63A2">
              <w:rPr>
                <w:rFonts w:cs="Arial"/>
                <w:color w:val="000000"/>
                <w:szCs w:val="22"/>
                <w:vertAlign w:val="superscript"/>
              </w:rPr>
              <w:t>th</w:t>
            </w:r>
            <w:r w:rsidR="00DD63A2">
              <w:rPr>
                <w:rFonts w:cs="Arial"/>
                <w:color w:val="000000"/>
                <w:szCs w:val="22"/>
              </w:rPr>
              <w:t xml:space="preserve"> grade students are above the expected student outcome</w:t>
            </w:r>
            <w:r w:rsidR="00631A16">
              <w:rPr>
                <w:rFonts w:cs="Arial"/>
                <w:color w:val="000000"/>
                <w:szCs w:val="22"/>
              </w:rPr>
              <w:t xml:space="preserve"> (72 SGP).  </w:t>
            </w:r>
            <w:r w:rsidR="00DD63A2">
              <w:rPr>
                <w:rFonts w:cs="Arial"/>
                <w:color w:val="000000"/>
                <w:szCs w:val="22"/>
              </w:rPr>
              <w:t>It is important to note that both</w:t>
            </w:r>
            <w:r w:rsidR="008023F8">
              <w:rPr>
                <w:rFonts w:cs="Arial"/>
                <w:color w:val="000000"/>
                <w:szCs w:val="22"/>
              </w:rPr>
              <w:t xml:space="preserve"> cohorts of students are showing hig</w:t>
            </w:r>
            <w:r w:rsidR="00DD63A2">
              <w:rPr>
                <w:rFonts w:cs="Arial"/>
                <w:color w:val="000000"/>
                <w:szCs w:val="22"/>
              </w:rPr>
              <w:t xml:space="preserve">h growth and high achievement.  </w:t>
            </w:r>
          </w:p>
          <w:p w:rsidR="00D773C3" w:rsidRDefault="00D773C3" w:rsidP="00D44013">
            <w:pPr>
              <w:rPr>
                <w:rFonts w:cs="Arial"/>
                <w:color w:val="000000"/>
                <w:szCs w:val="22"/>
              </w:rPr>
            </w:pPr>
          </w:p>
          <w:p w:rsidR="00D773C3" w:rsidRPr="00470AF6" w:rsidRDefault="00D773C3" w:rsidP="00D773C3">
            <w:pPr>
              <w:rPr>
                <w:color w:val="0E0E0E"/>
                <w:kern w:val="1"/>
              </w:rPr>
            </w:pPr>
            <w:r w:rsidRPr="00D773C3">
              <w:rPr>
                <w:rFonts w:cs="Arial"/>
                <w:b/>
                <w:color w:val="000000"/>
                <w:szCs w:val="22"/>
              </w:rPr>
              <w:t>About STAR Math:</w:t>
            </w:r>
            <w:r>
              <w:rPr>
                <w:rFonts w:cs="Arial"/>
                <w:color w:val="000000"/>
                <w:szCs w:val="22"/>
              </w:rPr>
              <w:t xml:space="preserve">  T</w:t>
            </w:r>
            <w:r w:rsidRPr="00470AF6">
              <w:rPr>
                <w:color w:val="0E0E0E"/>
                <w:kern w:val="1"/>
              </w:rPr>
              <w:t xml:space="preserve">he </w:t>
            </w:r>
            <w:r w:rsidR="00AA09D6">
              <w:rPr>
                <w:color w:val="0E0E0E"/>
                <w:kern w:val="1"/>
              </w:rPr>
              <w:t xml:space="preserve">criterion referenced </w:t>
            </w:r>
            <w:r w:rsidRPr="00470AF6">
              <w:rPr>
                <w:color w:val="0E0E0E"/>
                <w:kern w:val="1"/>
              </w:rPr>
              <w:t xml:space="preserve">Renaissance Learning STAR Math </w:t>
            </w:r>
            <w:r>
              <w:rPr>
                <w:color w:val="0E0E0E"/>
                <w:kern w:val="1"/>
              </w:rPr>
              <w:t>is administered</w:t>
            </w:r>
            <w:r w:rsidRPr="00470AF6">
              <w:rPr>
                <w:color w:val="0E0E0E"/>
                <w:kern w:val="1"/>
              </w:rPr>
              <w:t xml:space="preserve"> a</w:t>
            </w:r>
            <w:r>
              <w:rPr>
                <w:color w:val="0E0E0E"/>
                <w:kern w:val="1"/>
              </w:rPr>
              <w:t>t</w:t>
            </w:r>
            <w:r w:rsidRPr="00470AF6">
              <w:rPr>
                <w:color w:val="0E0E0E"/>
                <w:kern w:val="1"/>
              </w:rPr>
              <w:t xml:space="preserve"> </w:t>
            </w:r>
            <w:r w:rsidR="002E36E7">
              <w:rPr>
                <w:color w:val="0E0E0E"/>
                <w:kern w:val="1"/>
              </w:rPr>
              <w:t xml:space="preserve">the </w:t>
            </w:r>
            <w:r w:rsidRPr="00470AF6">
              <w:rPr>
                <w:color w:val="0E0E0E"/>
                <w:kern w:val="1"/>
              </w:rPr>
              <w:t xml:space="preserve">beginning of the year </w:t>
            </w:r>
            <w:r>
              <w:rPr>
                <w:color w:val="0E0E0E"/>
                <w:kern w:val="1"/>
              </w:rPr>
              <w:t>to serve as a baseline as well as</w:t>
            </w:r>
            <w:r w:rsidRPr="00470AF6">
              <w:rPr>
                <w:color w:val="0E0E0E"/>
                <w:kern w:val="1"/>
              </w:rPr>
              <w:t xml:space="preserve"> quarterly to measure student learning on the CCSS</w:t>
            </w:r>
            <w:r>
              <w:rPr>
                <w:color w:val="0E0E0E"/>
                <w:kern w:val="1"/>
              </w:rPr>
              <w:t xml:space="preserve"> in Mathematics</w:t>
            </w:r>
            <w:r w:rsidRPr="00470AF6">
              <w:rPr>
                <w:color w:val="0E0E0E"/>
                <w:kern w:val="1"/>
              </w:rPr>
              <w:t>.</w:t>
            </w:r>
            <w:r>
              <w:rPr>
                <w:color w:val="0E0E0E"/>
                <w:kern w:val="1"/>
              </w:rPr>
              <w:t xml:space="preserve"> </w:t>
            </w:r>
            <w:r w:rsidRPr="00470AF6">
              <w:rPr>
                <w:color w:val="0E0E0E"/>
                <w:kern w:val="1"/>
              </w:rPr>
              <w:t xml:space="preserve">STAR Math is a nationally normed, computer adaptive test that informs the teacher on student mastery on each of the domains.  The results are </w:t>
            </w:r>
            <w:r>
              <w:rPr>
                <w:color w:val="0E0E0E"/>
                <w:kern w:val="1"/>
              </w:rPr>
              <w:t>used to support intervention/enrichment</w:t>
            </w:r>
            <w:r w:rsidRPr="00470AF6">
              <w:rPr>
                <w:color w:val="0E0E0E"/>
                <w:kern w:val="1"/>
              </w:rPr>
              <w:t>. STAR Math is also used in conjunction with th</w:t>
            </w:r>
            <w:r>
              <w:rPr>
                <w:color w:val="0E0E0E"/>
                <w:kern w:val="1"/>
              </w:rPr>
              <w:t>e Accelerated Math program</w:t>
            </w:r>
            <w:r w:rsidRPr="00470AF6">
              <w:rPr>
                <w:color w:val="0E0E0E"/>
                <w:kern w:val="1"/>
              </w:rPr>
              <w:t xml:space="preserve"> </w:t>
            </w:r>
            <w:r>
              <w:rPr>
                <w:color w:val="0E0E0E"/>
                <w:kern w:val="1"/>
              </w:rPr>
              <w:t xml:space="preserve">as a supplemental program </w:t>
            </w:r>
            <w:r w:rsidRPr="00470AF6">
              <w:rPr>
                <w:color w:val="0E0E0E"/>
                <w:kern w:val="1"/>
              </w:rPr>
              <w:t>to support stude</w:t>
            </w:r>
            <w:r>
              <w:rPr>
                <w:color w:val="0E0E0E"/>
                <w:kern w:val="1"/>
              </w:rPr>
              <w:t xml:space="preserve">nt learning at his/her ability in the upper elementary classroom.  </w:t>
            </w:r>
            <w:r w:rsidRPr="00470AF6">
              <w:rPr>
                <w:color w:val="0E0E0E"/>
                <w:kern w:val="1"/>
              </w:rPr>
              <w:t xml:space="preserve"> </w:t>
            </w:r>
          </w:p>
          <w:p w:rsidR="008E4796" w:rsidRPr="00AA09D6" w:rsidRDefault="008E4796" w:rsidP="00D44013">
            <w:pPr>
              <w:rPr>
                <w:rFonts w:cs="Arial"/>
                <w:color w:val="000000"/>
                <w:sz w:val="16"/>
                <w:szCs w:val="16"/>
              </w:rPr>
            </w:pPr>
          </w:p>
          <w:p w:rsidR="00B45B99" w:rsidRPr="00102122" w:rsidRDefault="00B45B99" w:rsidP="00B45B99">
            <w:pPr>
              <w:rPr>
                <w:rFonts w:cs="Arial"/>
                <w:color w:val="000000"/>
                <w:sz w:val="18"/>
                <w:szCs w:val="18"/>
              </w:rPr>
            </w:pPr>
            <w:r w:rsidRPr="00102122">
              <w:rPr>
                <w:rFonts w:cs="Arial"/>
                <w:color w:val="000000"/>
                <w:sz w:val="18"/>
                <w:szCs w:val="18"/>
              </w:rPr>
              <w:t>Table 3</w:t>
            </w:r>
            <w:r w:rsidR="00102122" w:rsidRPr="00102122">
              <w:rPr>
                <w:rFonts w:cs="Arial"/>
                <w:color w:val="000000"/>
                <w:sz w:val="18"/>
                <w:szCs w:val="18"/>
              </w:rPr>
              <w:t>.0</w:t>
            </w:r>
            <w:r w:rsidRPr="00102122">
              <w:rPr>
                <w:rFonts w:cs="Arial"/>
                <w:color w:val="000000"/>
                <w:sz w:val="18"/>
                <w:szCs w:val="18"/>
              </w:rPr>
              <w:t xml:space="preserve">: STAR Math Student Growth Progress, Lower Elementary </w:t>
            </w:r>
          </w:p>
          <w:p w:rsidR="00E4472A" w:rsidRDefault="00847CC8" w:rsidP="00D44013">
            <w:pPr>
              <w:rPr>
                <w:rFonts w:cs="Arial"/>
                <w:color w:val="000000"/>
                <w:szCs w:val="22"/>
              </w:rPr>
            </w:pPr>
            <w:r>
              <w:rPr>
                <w:rFonts w:cs="Arial"/>
                <w:noProof/>
                <w:color w:val="000000"/>
                <w:szCs w:val="22"/>
              </w:rPr>
              <w:drawing>
                <wp:inline distT="0" distB="0" distL="0" distR="0">
                  <wp:extent cx="4745355" cy="2627630"/>
                  <wp:effectExtent l="0" t="0" r="4445" b="0"/>
                  <wp:docPr id="4" name="Picture 4" descr="Screen Shot 2015-04-2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4-21 a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355" cy="2627630"/>
                          </a:xfrm>
                          <a:prstGeom prst="rect">
                            <a:avLst/>
                          </a:prstGeom>
                          <a:noFill/>
                          <a:ln>
                            <a:noFill/>
                          </a:ln>
                        </pic:spPr>
                      </pic:pic>
                    </a:graphicData>
                  </a:graphic>
                </wp:inline>
              </w:drawing>
            </w:r>
          </w:p>
          <w:p w:rsidR="00B45B99" w:rsidRPr="00AA09D6" w:rsidRDefault="00B45B99" w:rsidP="00D44013">
            <w:pPr>
              <w:rPr>
                <w:rFonts w:cs="Arial"/>
                <w:color w:val="000000"/>
                <w:sz w:val="16"/>
                <w:szCs w:val="16"/>
              </w:rPr>
            </w:pPr>
          </w:p>
          <w:p w:rsidR="00E4472A" w:rsidRPr="00102122" w:rsidRDefault="00B45B99" w:rsidP="00D44013">
            <w:pPr>
              <w:rPr>
                <w:rFonts w:cs="Arial"/>
                <w:color w:val="000000"/>
                <w:sz w:val="18"/>
                <w:szCs w:val="18"/>
              </w:rPr>
            </w:pPr>
            <w:r w:rsidRPr="00102122">
              <w:rPr>
                <w:rFonts w:cs="Arial"/>
                <w:color w:val="000000"/>
                <w:sz w:val="18"/>
                <w:szCs w:val="18"/>
              </w:rPr>
              <w:t>Table 4</w:t>
            </w:r>
            <w:r w:rsidR="00102122" w:rsidRPr="00102122">
              <w:rPr>
                <w:rFonts w:cs="Arial"/>
                <w:color w:val="000000"/>
                <w:sz w:val="18"/>
                <w:szCs w:val="18"/>
              </w:rPr>
              <w:t>.0</w:t>
            </w:r>
            <w:r w:rsidRPr="00102122">
              <w:rPr>
                <w:rFonts w:cs="Arial"/>
                <w:color w:val="000000"/>
                <w:sz w:val="18"/>
                <w:szCs w:val="18"/>
              </w:rPr>
              <w:t>:  STAR Math Student Growth Progress, Upper Elementary</w:t>
            </w:r>
          </w:p>
          <w:p w:rsidR="00B45B99" w:rsidRDefault="00847CC8" w:rsidP="00D44013">
            <w:pPr>
              <w:rPr>
                <w:rFonts w:cs="Arial"/>
                <w:color w:val="000000"/>
                <w:szCs w:val="22"/>
              </w:rPr>
            </w:pPr>
            <w:r>
              <w:rPr>
                <w:rFonts w:cs="Arial"/>
                <w:noProof/>
                <w:color w:val="000000"/>
                <w:szCs w:val="22"/>
              </w:rPr>
              <w:drawing>
                <wp:inline distT="0" distB="0" distL="0" distR="0">
                  <wp:extent cx="4860925" cy="2569845"/>
                  <wp:effectExtent l="0" t="0" r="0" b="0"/>
                  <wp:docPr id="5" name="Picture 5" descr="Screen Shot 2015-04-2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4-21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0925" cy="2569845"/>
                          </a:xfrm>
                          <a:prstGeom prst="rect">
                            <a:avLst/>
                          </a:prstGeom>
                          <a:noFill/>
                          <a:ln>
                            <a:noFill/>
                          </a:ln>
                        </pic:spPr>
                      </pic:pic>
                    </a:graphicData>
                  </a:graphic>
                </wp:inline>
              </w:drawing>
            </w:r>
          </w:p>
          <w:p w:rsidR="00E4472A" w:rsidRPr="00102122" w:rsidRDefault="00E4472A" w:rsidP="00D44013">
            <w:pPr>
              <w:rPr>
                <w:rFonts w:cs="Arial"/>
                <w:color w:val="000000"/>
                <w:sz w:val="16"/>
                <w:szCs w:val="16"/>
              </w:rPr>
            </w:pPr>
          </w:p>
          <w:p w:rsidR="00D44013" w:rsidRPr="001F50C2" w:rsidRDefault="00DD63A2" w:rsidP="00D44013">
            <w:pPr>
              <w:rPr>
                <w:rFonts w:cs="Arial"/>
                <w:color w:val="000000"/>
                <w:sz w:val="20"/>
              </w:rPr>
            </w:pPr>
            <w:r w:rsidRPr="001F50C2">
              <w:rPr>
                <w:rFonts w:cs="Arial"/>
                <w:color w:val="000000"/>
                <w:sz w:val="20"/>
              </w:rPr>
              <w:t>Tables 3</w:t>
            </w:r>
            <w:r w:rsidR="00102122" w:rsidRPr="001F50C2">
              <w:rPr>
                <w:rFonts w:cs="Arial"/>
                <w:color w:val="000000"/>
                <w:sz w:val="20"/>
              </w:rPr>
              <w:t>.0</w:t>
            </w:r>
            <w:r w:rsidRPr="001F50C2">
              <w:rPr>
                <w:rFonts w:cs="Arial"/>
                <w:color w:val="000000"/>
                <w:sz w:val="20"/>
              </w:rPr>
              <w:t xml:space="preserve"> and 4</w:t>
            </w:r>
            <w:r w:rsidR="00102122" w:rsidRPr="001F50C2">
              <w:rPr>
                <w:rFonts w:cs="Arial"/>
                <w:color w:val="000000"/>
                <w:sz w:val="20"/>
              </w:rPr>
              <w:t>.0</w:t>
            </w:r>
            <w:r w:rsidRPr="001F50C2">
              <w:rPr>
                <w:rFonts w:cs="Arial"/>
                <w:color w:val="000000"/>
                <w:sz w:val="20"/>
              </w:rPr>
              <w:t xml:space="preserve"> indicate that over 85% of the lower elementary students are scoring proficient or above on Common Core Mathematics Standards according to the Renaissance Learning STAR Math assessment, while 100% of the upper elementary students are scoring proficient or above. The expected student growth progress across the nation is between 40-60 SGP.  The 1-3</w:t>
            </w:r>
            <w:r w:rsidRPr="001F50C2">
              <w:rPr>
                <w:rFonts w:cs="Arial"/>
                <w:color w:val="000000"/>
                <w:sz w:val="20"/>
                <w:vertAlign w:val="superscript"/>
              </w:rPr>
              <w:t>rd</w:t>
            </w:r>
            <w:r w:rsidRPr="001F50C2">
              <w:rPr>
                <w:rFonts w:cs="Arial"/>
                <w:color w:val="000000"/>
                <w:sz w:val="20"/>
              </w:rPr>
              <w:t xml:space="preserve"> grade students are displaying median student growth (53 SGP) from the Fall to Winter progress, while the 4-6</w:t>
            </w:r>
            <w:r w:rsidRPr="001F50C2">
              <w:rPr>
                <w:rFonts w:cs="Arial"/>
                <w:color w:val="000000"/>
                <w:sz w:val="20"/>
                <w:vertAlign w:val="superscript"/>
              </w:rPr>
              <w:t>th</w:t>
            </w:r>
            <w:r w:rsidRPr="001F50C2">
              <w:rPr>
                <w:rFonts w:cs="Arial"/>
                <w:color w:val="000000"/>
                <w:sz w:val="20"/>
              </w:rPr>
              <w:t xml:space="preserve"> grade students are above the expected student outcome</w:t>
            </w:r>
            <w:r w:rsidR="00631A16" w:rsidRPr="001F50C2">
              <w:rPr>
                <w:rFonts w:cs="Arial"/>
                <w:color w:val="000000"/>
                <w:sz w:val="20"/>
              </w:rPr>
              <w:t xml:space="preserve"> (73 SGP)</w:t>
            </w:r>
            <w:r w:rsidRPr="001F50C2">
              <w:rPr>
                <w:rFonts w:cs="Arial"/>
                <w:color w:val="000000"/>
                <w:sz w:val="20"/>
              </w:rPr>
              <w:t xml:space="preserve">.  It is important to note that both cohorts of students are showing high growth and high achievement.  </w:t>
            </w:r>
          </w:p>
        </w:tc>
      </w:tr>
      <w:tr w:rsidR="00D44013" w:rsidRPr="00385292">
        <w:trPr>
          <w:trHeight w:val="403"/>
        </w:trPr>
        <w:tc>
          <w:tcPr>
            <w:tcW w:w="10296" w:type="dxa"/>
            <w:vAlign w:val="center"/>
          </w:tcPr>
          <w:p w:rsidR="00D44013" w:rsidRPr="00385292" w:rsidRDefault="00D44013" w:rsidP="00D44013">
            <w:r w:rsidRPr="00385292">
              <w:rPr>
                <w:b/>
              </w:rPr>
              <w:t>Extra-curricular Activities:</w:t>
            </w:r>
          </w:p>
        </w:tc>
      </w:tr>
      <w:tr w:rsidR="00D44013" w:rsidRPr="00385292">
        <w:trPr>
          <w:trHeight w:val="2088"/>
        </w:trPr>
        <w:tc>
          <w:tcPr>
            <w:tcW w:w="10296" w:type="dxa"/>
          </w:tcPr>
          <w:p w:rsidR="00D44013" w:rsidRPr="00385292" w:rsidRDefault="00D44013" w:rsidP="00D44013">
            <w:pPr>
              <w:rPr>
                <w:rFonts w:cs="Arial"/>
                <w:color w:val="000000"/>
                <w:szCs w:val="22"/>
              </w:rPr>
            </w:pPr>
          </w:p>
          <w:p w:rsidR="00491197" w:rsidRPr="002E36E7" w:rsidRDefault="00491197" w:rsidP="00C243B1">
            <w:pPr>
              <w:numPr>
                <w:ilvl w:val="0"/>
                <w:numId w:val="8"/>
              </w:numPr>
              <w:spacing w:after="200" w:line="276" w:lineRule="auto"/>
              <w:rPr>
                <w:rFonts w:cs="Arial"/>
              </w:rPr>
            </w:pPr>
            <w:r>
              <w:t xml:space="preserve"> </w:t>
            </w:r>
            <w:r w:rsidRPr="002E36E7">
              <w:rPr>
                <w:rFonts w:cs="Arial"/>
              </w:rPr>
              <w:t>Donna Nelson, the upper elementary teacher, volunteers her time to teach Saturday school from 1-4pm to students that need extra help in math.</w:t>
            </w:r>
          </w:p>
          <w:p w:rsidR="00491197" w:rsidRPr="002E36E7" w:rsidRDefault="00491197" w:rsidP="00C243B1">
            <w:pPr>
              <w:numPr>
                <w:ilvl w:val="0"/>
                <w:numId w:val="8"/>
              </w:numPr>
              <w:spacing w:after="200" w:line="276" w:lineRule="auto"/>
              <w:rPr>
                <w:rFonts w:cs="Arial"/>
              </w:rPr>
            </w:pPr>
            <w:r w:rsidRPr="002E36E7">
              <w:rPr>
                <w:rFonts w:cs="Arial"/>
              </w:rPr>
              <w:t xml:space="preserve">Both teachers’ supports students as needed in reading/math before and after school.  </w:t>
            </w:r>
          </w:p>
          <w:p w:rsidR="00491197" w:rsidRPr="002E36E7" w:rsidRDefault="00491197" w:rsidP="00C243B1">
            <w:pPr>
              <w:numPr>
                <w:ilvl w:val="0"/>
                <w:numId w:val="8"/>
              </w:numPr>
              <w:spacing w:after="200" w:line="276" w:lineRule="auto"/>
              <w:rPr>
                <w:rFonts w:cs="Arial"/>
              </w:rPr>
            </w:pPr>
            <w:r w:rsidRPr="002E36E7">
              <w:rPr>
                <w:rFonts w:cs="Arial"/>
              </w:rPr>
              <w:t>The 4-6</w:t>
            </w:r>
            <w:r w:rsidRPr="002E36E7">
              <w:rPr>
                <w:rFonts w:cs="Arial"/>
                <w:vertAlign w:val="superscript"/>
              </w:rPr>
              <w:t>th</w:t>
            </w:r>
            <w:r w:rsidRPr="002E36E7">
              <w:rPr>
                <w:rFonts w:cs="Arial"/>
              </w:rPr>
              <w:t xml:space="preserve"> grade students run the Adams student store (order items, price, sell items and figure out profits) on Wednesdays.</w:t>
            </w:r>
          </w:p>
          <w:p w:rsidR="00C243B1" w:rsidRPr="002E36E7" w:rsidRDefault="00C243B1" w:rsidP="00C243B1">
            <w:pPr>
              <w:numPr>
                <w:ilvl w:val="0"/>
                <w:numId w:val="8"/>
              </w:numPr>
              <w:spacing w:after="200" w:line="276" w:lineRule="auto"/>
              <w:rPr>
                <w:rFonts w:cs="Arial"/>
              </w:rPr>
            </w:pPr>
            <w:r w:rsidRPr="002E36E7">
              <w:rPr>
                <w:rFonts w:cs="Arial"/>
              </w:rPr>
              <w:t>Monthly poetry recital and family potluck, 1-3</w:t>
            </w:r>
            <w:r w:rsidRPr="002E36E7">
              <w:rPr>
                <w:rFonts w:cs="Arial"/>
                <w:vertAlign w:val="superscript"/>
              </w:rPr>
              <w:t>rd</w:t>
            </w:r>
            <w:r w:rsidRPr="002E36E7">
              <w:rPr>
                <w:rFonts w:cs="Arial"/>
              </w:rPr>
              <w:t xml:space="preserve"> grade.</w:t>
            </w:r>
          </w:p>
          <w:p w:rsidR="00491197" w:rsidRPr="002E36E7" w:rsidRDefault="00491197" w:rsidP="00C243B1">
            <w:pPr>
              <w:numPr>
                <w:ilvl w:val="0"/>
                <w:numId w:val="8"/>
              </w:numPr>
              <w:spacing w:after="200" w:line="276" w:lineRule="auto"/>
              <w:rPr>
                <w:rFonts w:cs="Arial"/>
              </w:rPr>
            </w:pPr>
            <w:r w:rsidRPr="002E36E7">
              <w:rPr>
                <w:rFonts w:cs="Arial"/>
              </w:rPr>
              <w:t xml:space="preserve">Collaborated with the second grade teachers at Adams to raise $1000 for a family in need through an afterschool bake sale.  </w:t>
            </w:r>
          </w:p>
          <w:p w:rsidR="00491197" w:rsidRPr="002E36E7" w:rsidRDefault="00491197" w:rsidP="00C243B1">
            <w:pPr>
              <w:numPr>
                <w:ilvl w:val="0"/>
                <w:numId w:val="8"/>
              </w:numPr>
              <w:spacing w:after="200" w:line="276" w:lineRule="auto"/>
              <w:rPr>
                <w:rFonts w:cs="Arial"/>
              </w:rPr>
            </w:pPr>
            <w:r w:rsidRPr="002E36E7">
              <w:rPr>
                <w:rFonts w:cs="Arial"/>
              </w:rPr>
              <w:t>Montessori students create a squa</w:t>
            </w:r>
            <w:r w:rsidR="00C243B1" w:rsidRPr="002E36E7">
              <w:rPr>
                <w:rFonts w:cs="Arial"/>
              </w:rPr>
              <w:t xml:space="preserve">re at the I Madonnari festival, sponsored by the SB Rotary North.  </w:t>
            </w:r>
          </w:p>
          <w:p w:rsidR="00C243B1" w:rsidRPr="002E36E7" w:rsidRDefault="00C243B1" w:rsidP="00C243B1">
            <w:pPr>
              <w:numPr>
                <w:ilvl w:val="0"/>
                <w:numId w:val="8"/>
              </w:numPr>
              <w:spacing w:after="200" w:line="276" w:lineRule="auto"/>
              <w:rPr>
                <w:rFonts w:cs="Arial"/>
              </w:rPr>
            </w:pPr>
            <w:r w:rsidRPr="002E36E7">
              <w:rPr>
                <w:rFonts w:cs="Arial"/>
              </w:rPr>
              <w:t>Two night camping trip to El Capitan in the fall to work on science objectives, 4-6</w:t>
            </w:r>
            <w:r w:rsidRPr="002E36E7">
              <w:rPr>
                <w:rFonts w:cs="Arial"/>
                <w:vertAlign w:val="superscript"/>
              </w:rPr>
              <w:t>th</w:t>
            </w:r>
            <w:r w:rsidRPr="002E36E7">
              <w:rPr>
                <w:rFonts w:cs="Arial"/>
              </w:rPr>
              <w:t xml:space="preserve"> grade.</w:t>
            </w:r>
          </w:p>
          <w:p w:rsidR="00D44013" w:rsidRPr="00C243B1" w:rsidRDefault="00C243B1" w:rsidP="00F747D5">
            <w:pPr>
              <w:numPr>
                <w:ilvl w:val="0"/>
                <w:numId w:val="8"/>
              </w:numPr>
              <w:spacing w:after="200" w:line="276" w:lineRule="auto"/>
            </w:pPr>
            <w:r w:rsidRPr="002E36E7">
              <w:rPr>
                <w:rFonts w:cs="Arial"/>
              </w:rPr>
              <w:t>Two night camping trip in the Spring to Santa Ynez to work on science objectives and review the American West in the 1800’s, 4-6</w:t>
            </w:r>
            <w:r w:rsidRPr="002E36E7">
              <w:rPr>
                <w:rFonts w:cs="Arial"/>
                <w:vertAlign w:val="superscript"/>
              </w:rPr>
              <w:t>th</w:t>
            </w:r>
            <w:r w:rsidRPr="002E36E7">
              <w:rPr>
                <w:rFonts w:cs="Arial"/>
              </w:rPr>
              <w:t xml:space="preserve"> grade</w:t>
            </w:r>
          </w:p>
        </w:tc>
      </w:tr>
      <w:tr w:rsidR="00D44013" w:rsidRPr="00385292">
        <w:trPr>
          <w:trHeight w:val="403"/>
        </w:trPr>
        <w:tc>
          <w:tcPr>
            <w:tcW w:w="10296" w:type="dxa"/>
            <w:vAlign w:val="center"/>
          </w:tcPr>
          <w:p w:rsidR="00D44013" w:rsidRPr="00385292" w:rsidRDefault="00D44013" w:rsidP="00D44013">
            <w:r w:rsidRPr="00385292">
              <w:rPr>
                <w:b/>
              </w:rPr>
              <w:t>Community Partnerships:</w:t>
            </w:r>
          </w:p>
        </w:tc>
      </w:tr>
      <w:tr w:rsidR="00D44013">
        <w:trPr>
          <w:trHeight w:val="2088"/>
        </w:trPr>
        <w:tc>
          <w:tcPr>
            <w:tcW w:w="10296" w:type="dxa"/>
          </w:tcPr>
          <w:p w:rsidR="00D44013" w:rsidRDefault="00C243B1" w:rsidP="00C243B1">
            <w:pPr>
              <w:spacing w:after="200" w:line="276" w:lineRule="auto"/>
            </w:pPr>
            <w:r>
              <w:t>Santa Barbara Montessori School</w:t>
            </w:r>
          </w:p>
        </w:tc>
      </w:tr>
      <w:tr w:rsidR="00D44013">
        <w:trPr>
          <w:trHeight w:val="403"/>
        </w:trPr>
        <w:tc>
          <w:tcPr>
            <w:tcW w:w="10296" w:type="dxa"/>
            <w:vAlign w:val="center"/>
          </w:tcPr>
          <w:p w:rsidR="00D44013" w:rsidRPr="00F824B6" w:rsidRDefault="00D44013" w:rsidP="00D44013">
            <w:r w:rsidRPr="00F824B6">
              <w:rPr>
                <w:b/>
              </w:rPr>
              <w:t>Accomplishments/Successes:</w:t>
            </w:r>
          </w:p>
        </w:tc>
      </w:tr>
      <w:tr w:rsidR="00D44013">
        <w:trPr>
          <w:trHeight w:val="2088"/>
        </w:trPr>
        <w:tc>
          <w:tcPr>
            <w:tcW w:w="10296" w:type="dxa"/>
          </w:tcPr>
          <w:p w:rsidR="00C243B1" w:rsidRDefault="00C243B1" w:rsidP="00C243B1">
            <w:pPr>
              <w:numPr>
                <w:ilvl w:val="0"/>
                <w:numId w:val="11"/>
              </w:numPr>
              <w:spacing w:after="200" w:line="276" w:lineRule="auto"/>
            </w:pPr>
            <w:r>
              <w:t>Nicola Parker received a $100 grant to purchase materials for the 3D printer. She is making objects to sell with the printer to raise money to help ResQcats.</w:t>
            </w:r>
          </w:p>
          <w:p w:rsidR="00C243B1" w:rsidRDefault="00C243B1" w:rsidP="00C243B1">
            <w:pPr>
              <w:numPr>
                <w:ilvl w:val="0"/>
                <w:numId w:val="11"/>
              </w:numPr>
              <w:spacing w:after="200" w:line="276" w:lineRule="auto"/>
            </w:pPr>
            <w:r>
              <w:t>Montessori students have read over 1,575 AR books with 21,048,784 words this year so far. The average reading level of the 4</w:t>
            </w:r>
            <w:r w:rsidRPr="00FB58AB">
              <w:rPr>
                <w:vertAlign w:val="superscript"/>
              </w:rPr>
              <w:t>th</w:t>
            </w:r>
            <w:r>
              <w:t>, 5</w:t>
            </w:r>
            <w:r w:rsidRPr="00FB58AB">
              <w:rPr>
                <w:vertAlign w:val="superscript"/>
              </w:rPr>
              <w:t>th</w:t>
            </w:r>
            <w:r>
              <w:t xml:space="preserve"> and 6</w:t>
            </w:r>
            <w:r w:rsidRPr="00FB58AB">
              <w:rPr>
                <w:vertAlign w:val="superscript"/>
              </w:rPr>
              <w:t>th</w:t>
            </w:r>
            <w:r>
              <w:t xml:space="preserve"> grade students is 6.3 with 92% accuracy on </w:t>
            </w:r>
            <w:r w:rsidR="00D67B21">
              <w:t xml:space="preserve">comprehension </w:t>
            </w:r>
            <w:r>
              <w:t>tests. The students have met the common core expectations with 45% of the reading being fiction books and 55% nonfiction.</w:t>
            </w:r>
          </w:p>
          <w:p w:rsidR="00D67B21" w:rsidRPr="00D67B21" w:rsidRDefault="00C243B1" w:rsidP="00D67B21">
            <w:pPr>
              <w:numPr>
                <w:ilvl w:val="0"/>
                <w:numId w:val="11"/>
              </w:numPr>
              <w:spacing w:after="200" w:line="276" w:lineRule="auto"/>
            </w:pPr>
            <w:r>
              <w:t xml:space="preserve">Every </w:t>
            </w:r>
            <w:r w:rsidR="00D67B21">
              <w:t>4-6</w:t>
            </w:r>
            <w:r w:rsidR="00D67B21" w:rsidRPr="00D67B21">
              <w:rPr>
                <w:vertAlign w:val="superscript"/>
              </w:rPr>
              <w:t>th</w:t>
            </w:r>
            <w:r w:rsidR="00D67B21">
              <w:t xml:space="preserve"> grade Montessori student is currently</w:t>
            </w:r>
            <w:r>
              <w:t xml:space="preserve"> at or above the benchmark in math</w:t>
            </w:r>
            <w:r w:rsidR="00D67B21">
              <w:t>ematics</w:t>
            </w:r>
            <w:r>
              <w:t>. Many students have made over 2 years growth this year. When tested in January the class average math gr</w:t>
            </w:r>
            <w:r w:rsidR="00D67B21">
              <w:t xml:space="preserve">owth from September was 1.7 years.  </w:t>
            </w:r>
          </w:p>
        </w:tc>
      </w:tr>
      <w:tr w:rsidR="00D44013">
        <w:trPr>
          <w:trHeight w:val="403"/>
        </w:trPr>
        <w:tc>
          <w:tcPr>
            <w:tcW w:w="10296" w:type="dxa"/>
            <w:vAlign w:val="center"/>
          </w:tcPr>
          <w:p w:rsidR="00D44013" w:rsidRPr="00F824B6" w:rsidRDefault="00D44013" w:rsidP="00D44013">
            <w:r w:rsidRPr="00F824B6">
              <w:rPr>
                <w:b/>
              </w:rPr>
              <w:t>Future Development Goals:</w:t>
            </w:r>
          </w:p>
        </w:tc>
      </w:tr>
      <w:tr w:rsidR="00D44013">
        <w:trPr>
          <w:trHeight w:val="2088"/>
        </w:trPr>
        <w:tc>
          <w:tcPr>
            <w:tcW w:w="10296" w:type="dxa"/>
          </w:tcPr>
          <w:p w:rsidR="00631A16" w:rsidRPr="00631A16" w:rsidRDefault="00631A16" w:rsidP="00631A16">
            <w:pPr>
              <w:numPr>
                <w:ilvl w:val="0"/>
                <w:numId w:val="6"/>
              </w:numPr>
              <w:spacing w:after="240"/>
              <w:rPr>
                <w:rFonts w:eastAsia="Times New Roman" w:cs="Arial"/>
                <w:color w:val="000000"/>
                <w:szCs w:val="22"/>
              </w:rPr>
            </w:pPr>
            <w:r>
              <w:rPr>
                <w:rFonts w:eastAsia="Times New Roman" w:cs="Arial"/>
                <w:color w:val="000000"/>
                <w:szCs w:val="22"/>
              </w:rPr>
              <w:t xml:space="preserve"> To continue to serve as a </w:t>
            </w:r>
            <w:r>
              <w:t>demonstration space to provide traditional classroom teachers with ideas and lesson plans for working with students in classes with multiple grade levels and for differentiating instruction across a wide range of ability levels and interests.</w:t>
            </w:r>
          </w:p>
          <w:p w:rsidR="00631A16" w:rsidRDefault="00631A16" w:rsidP="00631A16">
            <w:pPr>
              <w:numPr>
                <w:ilvl w:val="0"/>
                <w:numId w:val="6"/>
              </w:numPr>
              <w:rPr>
                <w:rFonts w:eastAsia="Times New Roman" w:cs="Arial"/>
                <w:color w:val="000000"/>
                <w:szCs w:val="22"/>
              </w:rPr>
            </w:pPr>
            <w:r>
              <w:rPr>
                <w:rFonts w:eastAsia="Times New Roman" w:cs="Arial"/>
                <w:color w:val="000000"/>
                <w:szCs w:val="22"/>
              </w:rPr>
              <w:t xml:space="preserve">To create a Transitional Kindergarten /Kindergarten (Primary classroom) Montessori classroom that will feed into the lower elementary classroom.  </w:t>
            </w:r>
          </w:p>
          <w:p w:rsidR="00D44013" w:rsidRPr="00892B0F" w:rsidRDefault="00D44013" w:rsidP="00631A16">
            <w:pPr>
              <w:rPr>
                <w:rFonts w:eastAsia="Times New Roman" w:cs="Arial"/>
                <w:color w:val="000000"/>
                <w:szCs w:val="22"/>
              </w:rPr>
            </w:pPr>
          </w:p>
        </w:tc>
      </w:tr>
    </w:tbl>
    <w:p w:rsidR="00D44013" w:rsidRDefault="00D44013" w:rsidP="00D44013"/>
    <w:p w:rsidR="00D44013" w:rsidRPr="00852B72" w:rsidRDefault="00D44013" w:rsidP="00D44013"/>
    <w:sectPr w:rsidR="00D44013" w:rsidRPr="00852B72" w:rsidSect="00D44013">
      <w:footerReference w:type="default" r:id="rId12"/>
      <w:headerReference w:type="first" r:id="rId13"/>
      <w:footerReference w:type="first" r:id="rId14"/>
      <w:type w:val="continuous"/>
      <w:pgSz w:w="12240" w:h="15840"/>
      <w:pgMar w:top="1800" w:right="1080" w:bottom="1440" w:left="1080" w:header="576" w:footer="8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B1" w:rsidRDefault="00C243B1">
      <w:r>
        <w:separator/>
      </w:r>
    </w:p>
  </w:endnote>
  <w:endnote w:type="continuationSeparator" w:id="0">
    <w:p w:rsidR="00C243B1" w:rsidRDefault="00C2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1" w:rsidRDefault="00C243B1">
    <w:pPr>
      <w:pStyle w:val="Footer"/>
    </w:pPr>
    <w:r>
      <w:t xml:space="preserve">Alternative Schools/Programs of Choice – Exhibit 6181 (2)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1" w:rsidRPr="005D6B37" w:rsidRDefault="00C243B1">
    <w:pPr>
      <w:pStyle w:val="Footer"/>
      <w:rPr>
        <w:rFonts w:ascii="Times New Roman" w:hAnsi="Times New Roman"/>
        <w:b/>
      </w:rPr>
    </w:pPr>
    <w:r w:rsidRPr="005D6B37">
      <w:rPr>
        <w:rFonts w:ascii="Times New Roman" w:hAnsi="Times New Roman"/>
        <w:b/>
      </w:rPr>
      <w:t xml:space="preserve">Alternative Schools/Programs of Choice – Exhibit </w:t>
    </w:r>
    <w:r>
      <w:rPr>
        <w:rFonts w:ascii="Times New Roman" w:hAnsi="Times New Roman"/>
        <w:b/>
      </w:rPr>
      <w:t xml:space="preserve">6181 </w:t>
    </w:r>
    <w:r w:rsidRPr="005D6B37">
      <w:rPr>
        <w:rFonts w:ascii="Times New Roman" w:hAnsi="Times New Roman"/>
        <w:b/>
      </w:rPr>
      <w:t>(</w:t>
    </w:r>
    <w:r>
      <w:rPr>
        <w:rFonts w:ascii="Times New Roman" w:hAnsi="Times New Roman"/>
        <w:b/>
      </w:rPr>
      <w:t>2</w:t>
    </w:r>
    <w:r w:rsidRPr="005D6B37">
      <w:rPr>
        <w:rFonts w:ascii="Times New Roman" w:hAnsi="Times New Roman"/>
        <w: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B1" w:rsidRDefault="00C243B1">
      <w:r>
        <w:separator/>
      </w:r>
    </w:p>
  </w:footnote>
  <w:footnote w:type="continuationSeparator" w:id="0">
    <w:p w:rsidR="00C243B1" w:rsidRDefault="00C24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1" w:rsidRDefault="00847CC8">
    <w:pPr>
      <w:pStyle w:val="Header"/>
    </w:pPr>
    <w:r>
      <w:rPr>
        <w:noProof/>
      </w:rPr>
      <w:drawing>
        <wp:inline distT="0" distB="0" distL="0" distR="0">
          <wp:extent cx="6400800" cy="1039495"/>
          <wp:effectExtent l="0" t="0" r="0" b="1905"/>
          <wp:docPr id="1" name="Picture 1" descr="Education Research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Research Curricul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394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28D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F02A39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2856726"/>
    <w:multiLevelType w:val="hybridMultilevel"/>
    <w:tmpl w:val="43F8F93C"/>
    <w:lvl w:ilvl="0" w:tplc="69C638BE">
      <w:start w:val="3"/>
      <w:numFmt w:val="bullet"/>
      <w:lvlText w:val="-"/>
      <w:lvlJc w:val="left"/>
      <w:pPr>
        <w:ind w:left="720" w:hanging="360"/>
      </w:pPr>
      <w:rPr>
        <w:rFonts w:ascii="Arial" w:eastAsia="Times" w:hAnsi="Arial" w:cs="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0213F"/>
    <w:multiLevelType w:val="hybridMultilevel"/>
    <w:tmpl w:val="5B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5F22"/>
    <w:multiLevelType w:val="hybridMultilevel"/>
    <w:tmpl w:val="E470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10201"/>
    <w:multiLevelType w:val="hybridMultilevel"/>
    <w:tmpl w:val="AF68D69C"/>
    <w:lvl w:ilvl="0" w:tplc="76202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F26202"/>
    <w:multiLevelType w:val="hybridMultilevel"/>
    <w:tmpl w:val="28E2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654E1"/>
    <w:multiLevelType w:val="hybridMultilevel"/>
    <w:tmpl w:val="228E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944E5"/>
    <w:multiLevelType w:val="hybridMultilevel"/>
    <w:tmpl w:val="DF126F98"/>
    <w:lvl w:ilvl="0" w:tplc="A5A655EE">
      <w:start w:val="3"/>
      <w:numFmt w:val="bullet"/>
      <w:lvlText w:val="-"/>
      <w:lvlJc w:val="left"/>
      <w:pPr>
        <w:ind w:left="720" w:hanging="360"/>
      </w:pPr>
      <w:rPr>
        <w:rFonts w:ascii="Arial" w:eastAsia="Times" w:hAnsi="Arial" w:cs="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D1D74"/>
    <w:multiLevelType w:val="hybridMultilevel"/>
    <w:tmpl w:val="518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73C8A"/>
    <w:multiLevelType w:val="hybridMultilevel"/>
    <w:tmpl w:val="B36E378E"/>
    <w:lvl w:ilvl="0" w:tplc="C6982FFE">
      <w:start w:val="1"/>
      <w:numFmt w:val="decimal"/>
      <w:lvlText w:val="%1."/>
      <w:lvlJc w:val="left"/>
      <w:pPr>
        <w:ind w:left="795" w:hanging="360"/>
      </w:pPr>
      <w:rPr>
        <w:rFonts w:ascii="Arial" w:eastAsia="Times" w:hAnsi="Arial" w:cs="Times New Roman"/>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4"/>
  </w:num>
  <w:num w:numId="7">
    <w:abstractNumId w:val="7"/>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55"/>
    <w:rsid w:val="00102122"/>
    <w:rsid w:val="00106A23"/>
    <w:rsid w:val="001F50C2"/>
    <w:rsid w:val="002332C8"/>
    <w:rsid w:val="002E36E7"/>
    <w:rsid w:val="00491197"/>
    <w:rsid w:val="00611B6D"/>
    <w:rsid w:val="00631A16"/>
    <w:rsid w:val="00753480"/>
    <w:rsid w:val="008023F8"/>
    <w:rsid w:val="00847CC8"/>
    <w:rsid w:val="00864B9A"/>
    <w:rsid w:val="008E4796"/>
    <w:rsid w:val="00AA09D6"/>
    <w:rsid w:val="00AE3CB1"/>
    <w:rsid w:val="00B15354"/>
    <w:rsid w:val="00B45B99"/>
    <w:rsid w:val="00BE3593"/>
    <w:rsid w:val="00C01005"/>
    <w:rsid w:val="00C243B1"/>
    <w:rsid w:val="00CF7158"/>
    <w:rsid w:val="00D44013"/>
    <w:rsid w:val="00D67B21"/>
    <w:rsid w:val="00D773C3"/>
    <w:rsid w:val="00DD63A2"/>
    <w:rsid w:val="00E4472A"/>
    <w:rsid w:val="00F747D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beforeAutospacing="1" w:after="60" w:afterAutospacing="1"/>
      <w:outlineLvl w:val="2"/>
    </w:pPr>
    <w:rPr>
      <w:rFonts w:ascii="Helvetica" w:hAnsi="Helvetica"/>
      <w:b/>
      <w:sz w:val="26"/>
    </w:rPr>
  </w:style>
  <w:style w:type="paragraph" w:styleId="Heading4">
    <w:name w:val="heading 4"/>
    <w:basedOn w:val="Normal"/>
    <w:next w:val="Normal"/>
    <w:qFormat/>
    <w:pPr>
      <w:keepNext/>
      <w:spacing w:before="240" w:beforeAutospacing="1" w:after="60" w:afterAutospacing="1"/>
      <w:outlineLvl w:val="3"/>
    </w:pPr>
    <w:rPr>
      <w:b/>
      <w:color w:val="000080"/>
      <w:sz w:val="28"/>
    </w:rPr>
  </w:style>
  <w:style w:type="paragraph" w:styleId="Heading5">
    <w:name w:val="heading 5"/>
    <w:basedOn w:val="Normal"/>
    <w:next w:val="Normal"/>
    <w:qFormat/>
    <w:pPr>
      <w:keepNext/>
      <w:widowControl w:val="0"/>
      <w:autoSpaceDE w:val="0"/>
      <w:autoSpaceDN w:val="0"/>
      <w:adjustRightInd w:val="0"/>
      <w:spacing w:after="480"/>
      <w:outlineLvl w:val="4"/>
    </w:pPr>
    <w:rPr>
      <w:rFonts w:ascii="Helvetica" w:eastAsia="Times New Roman" w:hAnsi="Helvetica"/>
      <w:b/>
      <w:sz w:val="36"/>
    </w:rPr>
  </w:style>
  <w:style w:type="paragraph" w:styleId="Heading6">
    <w:name w:val="heading 6"/>
    <w:basedOn w:val="Normal"/>
    <w:next w:val="Normal"/>
    <w:qFormat/>
    <w:pPr>
      <w:keepNext/>
      <w:widowControl w:val="0"/>
      <w:autoSpaceDE w:val="0"/>
      <w:autoSpaceDN w:val="0"/>
      <w:adjustRightInd w:val="0"/>
      <w:spacing w:after="240"/>
      <w:outlineLvl w:val="5"/>
    </w:pPr>
    <w:rPr>
      <w:rFonts w:ascii="Helvetica" w:eastAsia="Times New Roman" w:hAnsi="Helvetica"/>
      <w:b/>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94E7E"/>
  </w:style>
  <w:style w:type="paragraph" w:customStyle="1" w:styleId="ListofStandards">
    <w:name w:val="List of Standards"/>
    <w:basedOn w:val="ListBullet2"/>
    <w:autoRedefine/>
    <w:pPr>
      <w:numPr>
        <w:numId w:val="0"/>
      </w:numPr>
      <w:tabs>
        <w:tab w:val="num" w:pos="720"/>
      </w:tabs>
      <w:ind w:left="720" w:hanging="360"/>
    </w:pPr>
    <w:rPr>
      <w:rFonts w:eastAsia="Times New Roman"/>
      <w:sz w:val="20"/>
    </w:rPr>
  </w:style>
  <w:style w:type="paragraph" w:styleId="ListBullet2">
    <w:name w:val="List Bullet 2"/>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autoSpaceDE w:val="0"/>
      <w:autoSpaceDN w:val="0"/>
      <w:adjustRightInd w:val="0"/>
      <w:spacing w:after="240"/>
    </w:pPr>
    <w:rPr>
      <w:rFonts w:ascii="Helvetica" w:eastAsia="Times New Roman" w:hAnsi="Helvetica"/>
    </w:rPr>
  </w:style>
  <w:style w:type="paragraph" w:styleId="BodyText3">
    <w:name w:val="Body Text 3"/>
    <w:basedOn w:val="Normal"/>
    <w:rPr>
      <w:b/>
      <w:sz w:val="24"/>
    </w:rPr>
  </w:style>
  <w:style w:type="paragraph" w:customStyle="1" w:styleId="Default">
    <w:name w:val="Default"/>
    <w:rsid w:val="00B75D72"/>
    <w:pPr>
      <w:widowControl w:val="0"/>
      <w:autoSpaceDE w:val="0"/>
      <w:autoSpaceDN w:val="0"/>
      <w:adjustRightInd w:val="0"/>
    </w:pPr>
    <w:rPr>
      <w:rFonts w:ascii="Arial" w:eastAsia="Times New Roman" w:hAnsi="Arial" w:cs="Arial"/>
      <w:color w:val="000000"/>
      <w:sz w:val="24"/>
      <w:szCs w:val="24"/>
      <w:lang w:bidi="en-US"/>
    </w:rPr>
  </w:style>
  <w:style w:type="paragraph" w:customStyle="1" w:styleId="CM1">
    <w:name w:val="CM1"/>
    <w:basedOn w:val="Default"/>
    <w:next w:val="Default"/>
    <w:rsid w:val="00B75D72"/>
    <w:rPr>
      <w:rFonts w:cs="Times New Roman"/>
      <w:color w:val="auto"/>
    </w:rPr>
  </w:style>
  <w:style w:type="paragraph" w:customStyle="1" w:styleId="CM3">
    <w:name w:val="CM3"/>
    <w:basedOn w:val="Default"/>
    <w:next w:val="Default"/>
    <w:rsid w:val="00B75D72"/>
    <w:pPr>
      <w:spacing w:after="773"/>
    </w:pPr>
    <w:rPr>
      <w:rFonts w:cs="Times New Roman"/>
      <w:color w:val="auto"/>
    </w:rPr>
  </w:style>
  <w:style w:type="paragraph" w:customStyle="1" w:styleId="CM2">
    <w:name w:val="CM2"/>
    <w:basedOn w:val="Default"/>
    <w:next w:val="Default"/>
    <w:rsid w:val="00B75D72"/>
    <w:pPr>
      <w:spacing w:line="413" w:lineRule="atLeast"/>
    </w:pPr>
    <w:rPr>
      <w:rFonts w:cs="Times New Roman"/>
      <w:color w:val="auto"/>
    </w:rPr>
  </w:style>
  <w:style w:type="paragraph" w:customStyle="1" w:styleId="CM4">
    <w:name w:val="CM4"/>
    <w:basedOn w:val="Default"/>
    <w:next w:val="Default"/>
    <w:rsid w:val="00B75D72"/>
    <w:pPr>
      <w:spacing w:after="418"/>
    </w:pPr>
    <w:rPr>
      <w:rFonts w:cs="Times New Roman"/>
      <w:color w:val="auto"/>
    </w:rPr>
  </w:style>
  <w:style w:type="paragraph" w:styleId="NormalWeb">
    <w:name w:val="Normal (Web)"/>
    <w:basedOn w:val="Normal"/>
    <w:uiPriority w:val="99"/>
    <w:unhideWhenUsed/>
    <w:rsid w:val="00A3642C"/>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rsid w:val="00510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023B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beforeAutospacing="1" w:after="60" w:afterAutospacing="1"/>
      <w:outlineLvl w:val="2"/>
    </w:pPr>
    <w:rPr>
      <w:rFonts w:ascii="Helvetica" w:hAnsi="Helvetica"/>
      <w:b/>
      <w:sz w:val="26"/>
    </w:rPr>
  </w:style>
  <w:style w:type="paragraph" w:styleId="Heading4">
    <w:name w:val="heading 4"/>
    <w:basedOn w:val="Normal"/>
    <w:next w:val="Normal"/>
    <w:qFormat/>
    <w:pPr>
      <w:keepNext/>
      <w:spacing w:before="240" w:beforeAutospacing="1" w:after="60" w:afterAutospacing="1"/>
      <w:outlineLvl w:val="3"/>
    </w:pPr>
    <w:rPr>
      <w:b/>
      <w:color w:val="000080"/>
      <w:sz w:val="28"/>
    </w:rPr>
  </w:style>
  <w:style w:type="paragraph" w:styleId="Heading5">
    <w:name w:val="heading 5"/>
    <w:basedOn w:val="Normal"/>
    <w:next w:val="Normal"/>
    <w:qFormat/>
    <w:pPr>
      <w:keepNext/>
      <w:widowControl w:val="0"/>
      <w:autoSpaceDE w:val="0"/>
      <w:autoSpaceDN w:val="0"/>
      <w:adjustRightInd w:val="0"/>
      <w:spacing w:after="480"/>
      <w:outlineLvl w:val="4"/>
    </w:pPr>
    <w:rPr>
      <w:rFonts w:ascii="Helvetica" w:eastAsia="Times New Roman" w:hAnsi="Helvetica"/>
      <w:b/>
      <w:sz w:val="36"/>
    </w:rPr>
  </w:style>
  <w:style w:type="paragraph" w:styleId="Heading6">
    <w:name w:val="heading 6"/>
    <w:basedOn w:val="Normal"/>
    <w:next w:val="Normal"/>
    <w:qFormat/>
    <w:pPr>
      <w:keepNext/>
      <w:widowControl w:val="0"/>
      <w:autoSpaceDE w:val="0"/>
      <w:autoSpaceDN w:val="0"/>
      <w:adjustRightInd w:val="0"/>
      <w:spacing w:after="240"/>
      <w:outlineLvl w:val="5"/>
    </w:pPr>
    <w:rPr>
      <w:rFonts w:ascii="Helvetica" w:eastAsia="Times New Roman" w:hAnsi="Helvetica"/>
      <w:b/>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94E7E"/>
  </w:style>
  <w:style w:type="paragraph" w:customStyle="1" w:styleId="ListofStandards">
    <w:name w:val="List of Standards"/>
    <w:basedOn w:val="ListBullet2"/>
    <w:autoRedefine/>
    <w:pPr>
      <w:numPr>
        <w:numId w:val="0"/>
      </w:numPr>
      <w:tabs>
        <w:tab w:val="num" w:pos="720"/>
      </w:tabs>
      <w:ind w:left="720" w:hanging="360"/>
    </w:pPr>
    <w:rPr>
      <w:rFonts w:eastAsia="Times New Roman"/>
      <w:sz w:val="20"/>
    </w:rPr>
  </w:style>
  <w:style w:type="paragraph" w:styleId="ListBullet2">
    <w:name w:val="List Bullet 2"/>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autoSpaceDE w:val="0"/>
      <w:autoSpaceDN w:val="0"/>
      <w:adjustRightInd w:val="0"/>
      <w:spacing w:after="240"/>
    </w:pPr>
    <w:rPr>
      <w:rFonts w:ascii="Helvetica" w:eastAsia="Times New Roman" w:hAnsi="Helvetica"/>
    </w:rPr>
  </w:style>
  <w:style w:type="paragraph" w:styleId="BodyText3">
    <w:name w:val="Body Text 3"/>
    <w:basedOn w:val="Normal"/>
    <w:rPr>
      <w:b/>
      <w:sz w:val="24"/>
    </w:rPr>
  </w:style>
  <w:style w:type="paragraph" w:customStyle="1" w:styleId="Default">
    <w:name w:val="Default"/>
    <w:rsid w:val="00B75D72"/>
    <w:pPr>
      <w:widowControl w:val="0"/>
      <w:autoSpaceDE w:val="0"/>
      <w:autoSpaceDN w:val="0"/>
      <w:adjustRightInd w:val="0"/>
    </w:pPr>
    <w:rPr>
      <w:rFonts w:ascii="Arial" w:eastAsia="Times New Roman" w:hAnsi="Arial" w:cs="Arial"/>
      <w:color w:val="000000"/>
      <w:sz w:val="24"/>
      <w:szCs w:val="24"/>
      <w:lang w:bidi="en-US"/>
    </w:rPr>
  </w:style>
  <w:style w:type="paragraph" w:customStyle="1" w:styleId="CM1">
    <w:name w:val="CM1"/>
    <w:basedOn w:val="Default"/>
    <w:next w:val="Default"/>
    <w:rsid w:val="00B75D72"/>
    <w:rPr>
      <w:rFonts w:cs="Times New Roman"/>
      <w:color w:val="auto"/>
    </w:rPr>
  </w:style>
  <w:style w:type="paragraph" w:customStyle="1" w:styleId="CM3">
    <w:name w:val="CM3"/>
    <w:basedOn w:val="Default"/>
    <w:next w:val="Default"/>
    <w:rsid w:val="00B75D72"/>
    <w:pPr>
      <w:spacing w:after="773"/>
    </w:pPr>
    <w:rPr>
      <w:rFonts w:cs="Times New Roman"/>
      <w:color w:val="auto"/>
    </w:rPr>
  </w:style>
  <w:style w:type="paragraph" w:customStyle="1" w:styleId="CM2">
    <w:name w:val="CM2"/>
    <w:basedOn w:val="Default"/>
    <w:next w:val="Default"/>
    <w:rsid w:val="00B75D72"/>
    <w:pPr>
      <w:spacing w:line="413" w:lineRule="atLeast"/>
    </w:pPr>
    <w:rPr>
      <w:rFonts w:cs="Times New Roman"/>
      <w:color w:val="auto"/>
    </w:rPr>
  </w:style>
  <w:style w:type="paragraph" w:customStyle="1" w:styleId="CM4">
    <w:name w:val="CM4"/>
    <w:basedOn w:val="Default"/>
    <w:next w:val="Default"/>
    <w:rsid w:val="00B75D72"/>
    <w:pPr>
      <w:spacing w:after="418"/>
    </w:pPr>
    <w:rPr>
      <w:rFonts w:cs="Times New Roman"/>
      <w:color w:val="auto"/>
    </w:rPr>
  </w:style>
  <w:style w:type="paragraph" w:styleId="NormalWeb">
    <w:name w:val="Normal (Web)"/>
    <w:basedOn w:val="Normal"/>
    <w:uiPriority w:val="99"/>
    <w:unhideWhenUsed/>
    <w:rsid w:val="00A3642C"/>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rsid w:val="00510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02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85">
      <w:bodyDiv w:val="1"/>
      <w:marLeft w:val="0"/>
      <w:marRight w:val="0"/>
      <w:marTop w:val="0"/>
      <w:marBottom w:val="0"/>
      <w:divBdr>
        <w:top w:val="none" w:sz="0" w:space="0" w:color="auto"/>
        <w:left w:val="none" w:sz="0" w:space="0" w:color="auto"/>
        <w:bottom w:val="none" w:sz="0" w:space="0" w:color="auto"/>
        <w:right w:val="none" w:sz="0" w:space="0" w:color="auto"/>
      </w:divBdr>
    </w:div>
    <w:div w:id="181018661">
      <w:bodyDiv w:val="1"/>
      <w:marLeft w:val="0"/>
      <w:marRight w:val="0"/>
      <w:marTop w:val="0"/>
      <w:marBottom w:val="0"/>
      <w:divBdr>
        <w:top w:val="none" w:sz="0" w:space="0" w:color="auto"/>
        <w:left w:val="none" w:sz="0" w:space="0" w:color="auto"/>
        <w:bottom w:val="none" w:sz="0" w:space="0" w:color="auto"/>
        <w:right w:val="none" w:sz="0" w:space="0" w:color="auto"/>
      </w:divBdr>
    </w:div>
    <w:div w:id="295070832">
      <w:bodyDiv w:val="1"/>
      <w:marLeft w:val="0"/>
      <w:marRight w:val="0"/>
      <w:marTop w:val="0"/>
      <w:marBottom w:val="0"/>
      <w:divBdr>
        <w:top w:val="none" w:sz="0" w:space="0" w:color="auto"/>
        <w:left w:val="none" w:sz="0" w:space="0" w:color="auto"/>
        <w:bottom w:val="none" w:sz="0" w:space="0" w:color="auto"/>
        <w:right w:val="none" w:sz="0" w:space="0" w:color="auto"/>
      </w:divBdr>
    </w:div>
    <w:div w:id="1231815673">
      <w:bodyDiv w:val="1"/>
      <w:marLeft w:val="0"/>
      <w:marRight w:val="0"/>
      <w:marTop w:val="0"/>
      <w:marBottom w:val="0"/>
      <w:divBdr>
        <w:top w:val="none" w:sz="0" w:space="0" w:color="auto"/>
        <w:left w:val="none" w:sz="0" w:space="0" w:color="auto"/>
        <w:bottom w:val="none" w:sz="0" w:space="0" w:color="auto"/>
        <w:right w:val="none" w:sz="0" w:space="0" w:color="auto"/>
      </w:divBdr>
      <w:divsChild>
        <w:div w:id="586888578">
          <w:marLeft w:val="0"/>
          <w:marRight w:val="0"/>
          <w:marTop w:val="0"/>
          <w:marBottom w:val="0"/>
          <w:divBdr>
            <w:top w:val="none" w:sz="0" w:space="0" w:color="auto"/>
            <w:left w:val="none" w:sz="0" w:space="0" w:color="auto"/>
            <w:bottom w:val="none" w:sz="0" w:space="0" w:color="auto"/>
            <w:right w:val="none" w:sz="0" w:space="0" w:color="auto"/>
          </w:divBdr>
          <w:divsChild>
            <w:div w:id="550843240">
              <w:marLeft w:val="0"/>
              <w:marRight w:val="0"/>
              <w:marTop w:val="0"/>
              <w:marBottom w:val="0"/>
              <w:divBdr>
                <w:top w:val="none" w:sz="0" w:space="0" w:color="auto"/>
                <w:left w:val="none" w:sz="0" w:space="0" w:color="auto"/>
                <w:bottom w:val="none" w:sz="0" w:space="0" w:color="auto"/>
                <w:right w:val="none" w:sz="0" w:space="0" w:color="auto"/>
              </w:divBdr>
              <w:divsChild>
                <w:div w:id="2000693992">
                  <w:marLeft w:val="0"/>
                  <w:marRight w:val="0"/>
                  <w:marTop w:val="0"/>
                  <w:marBottom w:val="0"/>
                  <w:divBdr>
                    <w:top w:val="none" w:sz="0" w:space="0" w:color="auto"/>
                    <w:left w:val="none" w:sz="0" w:space="0" w:color="auto"/>
                    <w:bottom w:val="none" w:sz="0" w:space="0" w:color="auto"/>
                    <w:right w:val="none" w:sz="0" w:space="0" w:color="auto"/>
                  </w:divBdr>
                  <w:divsChild>
                    <w:div w:id="10475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09503">
      <w:bodyDiv w:val="1"/>
      <w:marLeft w:val="0"/>
      <w:marRight w:val="0"/>
      <w:marTop w:val="0"/>
      <w:marBottom w:val="0"/>
      <w:divBdr>
        <w:top w:val="none" w:sz="0" w:space="0" w:color="auto"/>
        <w:left w:val="none" w:sz="0" w:space="0" w:color="auto"/>
        <w:bottom w:val="none" w:sz="0" w:space="0" w:color="auto"/>
        <w:right w:val="none" w:sz="0" w:space="0" w:color="auto"/>
      </w:divBdr>
    </w:div>
    <w:div w:id="1930429262">
      <w:bodyDiv w:val="1"/>
      <w:marLeft w:val="0"/>
      <w:marRight w:val="0"/>
      <w:marTop w:val="0"/>
      <w:marBottom w:val="0"/>
      <w:divBdr>
        <w:top w:val="none" w:sz="0" w:space="0" w:color="auto"/>
        <w:left w:val="none" w:sz="0" w:space="0" w:color="auto"/>
        <w:bottom w:val="none" w:sz="0" w:space="0" w:color="auto"/>
        <w:right w:val="none" w:sz="0" w:space="0" w:color="auto"/>
      </w:divBdr>
    </w:div>
    <w:div w:id="1969388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1187</Words>
  <Characters>6768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Lorem ipsum dolor sit amet</vt:lpstr>
    </vt:vector>
  </TitlesOfParts>
  <Company>Santa Barbara School Districts</Company>
  <LinksUpToDate>false</LinksUpToDate>
  <CharactersWithSpaces>7940</CharactersWithSpaces>
  <SharedDoc>false</SharedDoc>
  <HLinks>
    <vt:vector size="6" baseType="variant">
      <vt:variant>
        <vt:i4>6160432</vt:i4>
      </vt:variant>
      <vt:variant>
        <vt:i4>12718</vt:i4>
      </vt:variant>
      <vt:variant>
        <vt:i4>1025</vt:i4>
      </vt:variant>
      <vt:variant>
        <vt:i4>1</vt:i4>
      </vt:variant>
      <vt:variant>
        <vt:lpwstr>Education Research Curriculum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Amy Alzina</cp:lastModifiedBy>
  <cp:revision>1</cp:revision>
  <cp:lastPrinted>2015-04-22T18:41:00Z</cp:lastPrinted>
  <dcterms:created xsi:type="dcterms:W3CDTF">2015-04-22T18:40:00Z</dcterms:created>
  <dcterms:modified xsi:type="dcterms:W3CDTF">2015-05-12T15:19:00Z</dcterms:modified>
</cp:coreProperties>
</file>