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Thesis:  It is undeniable that the narrator is responsible for the death of Doodle.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Baby Thesis 1: The narrator’s motivations make it clear that he is responsible for Doodle’s death.</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Evidence:  Evidence to support this can be seen when early in the story the narrator reveals, “It was bad enough having an invalid brother but having one who possibly was not all there was unbearable, so I began to make plans to kill him by smothering him with a pillow,” (416).</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Commentary/Argument: By analyzing this, one can see that the narrator was dead set against having a disabled brother.  He was determined to avoid this in any way possible, even if it involved murder.  This makes it clear that even from early on, the narrator had no regard for his brother’s life or well-being.  </w:t>
      </w:r>
    </w:p>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___________________________________________</w:t>
      </w:r>
    </w:p>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Sample for quoting dialogue: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mbria" w:hAnsi="Cambria" w:eastAsia="Cambria" w:ascii="Cambria"/>
          <w:sz w:val="24"/>
          <w:rtl w:val="0"/>
        </w:rPr>
        <w:t xml:space="preserve">Proof of this can be seen when the narrator states, “ ‘Shut up.  I’m not going to hurt you.  I’m going to teach you to walk,’ ” (419).</w:t>
      </w:r>
    </w:p>
    <w:sectPr>
      <w:headerReference r:id="rId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Scarlet Ibis Sample.docx</dc:title>
</cp:coreProperties>
</file>