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Cambria" w:hAnsi="Cambria" w:eastAsia="Cambria" w:ascii="Cambria"/>
          <w:b w:val="1"/>
          <w:sz w:val="32"/>
          <w:rtl w:val="0"/>
        </w:rPr>
        <w:t xml:space="preserve">A.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Fonts w:cs="Cambria" w:hAnsi="Cambria" w:eastAsia="Cambria" w:ascii="Cambria"/>
          <w:b w:val="1"/>
          <w:sz w:val="32"/>
          <w:rtl w:val="0"/>
        </w:rPr>
        <w:t xml:space="preserve">Topic Sentence (Baby Thesis)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James Hurst demonstrates that pride can lead to…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The narrator’s </w:t>
      </w:r>
      <w:r w:rsidRPr="00000000" w:rsidR="00000000" w:rsidDel="00000000">
        <w:rPr>
          <w:rFonts w:cs="Cambria" w:hAnsi="Cambria" w:eastAsia="Cambria" w:ascii="Cambria"/>
          <w:i w:val="1"/>
          <w:sz w:val="32"/>
          <w:rtl w:val="0"/>
        </w:rPr>
        <w:t xml:space="preserve">actions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 demonstrate that pride can lead to…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“The Scarlet Ibis” shows that pride can…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The character ____ demonstrates that pride ____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The character “Brother” is/is not responsible for Doodle’s death because 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The narrator should/should not be held responsible for Doodle’s death because…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Cambria" w:hAnsi="Cambria" w:eastAsia="Cambria" w:ascii="Cambria"/>
          <w:b w:val="1"/>
          <w:sz w:val="32"/>
          <w:rtl w:val="0"/>
        </w:rPr>
        <w:t xml:space="preserve">B.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</w:t>
      </w:r>
      <w:r w:rsidRPr="00000000" w:rsidR="00000000" w:rsidDel="00000000">
        <w:rPr>
          <w:rFonts w:cs="Cambria" w:hAnsi="Cambria" w:eastAsia="Cambria" w:ascii="Cambria"/>
          <w:b w:val="1"/>
          <w:sz w:val="32"/>
          <w:rtl w:val="0"/>
        </w:rPr>
        <w:t xml:space="preserve">Evidence: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Evidence of this can be seen when…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This is most evident when 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Evidence to support this can be seen when…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The most significant evidence of this can be seen when…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Cambria" w:hAnsi="Cambria" w:eastAsia="Cambria" w:ascii="Cambria"/>
          <w:b w:val="1"/>
          <w:sz w:val="32"/>
          <w:rtl w:val="0"/>
        </w:rPr>
        <w:t xml:space="preserve">C.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</w:t>
      </w:r>
      <w:r w:rsidRPr="00000000" w:rsidR="00000000" w:rsidDel="00000000">
        <w:rPr>
          <w:rFonts w:cs="Cambria" w:hAnsi="Cambria" w:eastAsia="Cambria" w:ascii="Cambria"/>
          <w:b w:val="1"/>
          <w:sz w:val="32"/>
          <w:rtl w:val="0"/>
        </w:rPr>
        <w:t xml:space="preserve">Commentary: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This demonstrates that…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By analyzing this, one can see…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This makes it clear that…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After examining this quote, it is clear that…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After examining this evidence, it is clear that…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This proves that…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This is important when considering _______________ because…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Cambria" w:hAnsi="Cambria" w:eastAsia="Cambria" w:ascii="Cambria"/>
          <w:b w:val="1"/>
          <w:sz w:val="32"/>
          <w:rtl w:val="0"/>
        </w:rPr>
        <w:t xml:space="preserve">D.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  <w:r w:rsidRPr="00000000" w:rsidR="00000000" w:rsidDel="00000000">
        <w:rPr>
          <w:rFonts w:cs="Cambria" w:hAnsi="Cambria" w:eastAsia="Cambria" w:ascii="Cambria"/>
          <w:b w:val="1"/>
          <w:sz w:val="32"/>
          <w:rtl w:val="0"/>
        </w:rPr>
        <w:t xml:space="preserve">Concluding Sentence: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Courier New" w:hAnsi="Courier New" w:eastAsia="Courier New" w:ascii="Courier New"/>
          <w:sz w:val="32"/>
          <w:rtl w:val="0"/>
        </w:rPr>
        <w:t xml:space="preserve">o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</w:t>
      </w:r>
      <w:r w:rsidRPr="00000000" w:rsidR="00000000" w:rsidDel="00000000">
        <w:rPr>
          <w:rFonts w:cs="Cambria" w:hAnsi="Cambria" w:eastAsia="Cambria" w:ascii="Cambria"/>
          <w:sz w:val="32"/>
          <w:rtl w:val="0"/>
        </w:rPr>
        <w:t xml:space="preserve">Based on the previously mentioned evidence, it is clear that ______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Courier New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Ibis Sentence Starters.docx</dc:title>
</cp:coreProperties>
</file>